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31BD8" w14:textId="77777777" w:rsidR="00FD35BE" w:rsidRPr="00FD35BE" w:rsidRDefault="00FD35BE" w:rsidP="00FD35BE">
      <w:pPr>
        <w:pBdr>
          <w:top w:val="nil"/>
          <w:left w:val="nil"/>
          <w:bottom w:val="nil"/>
          <w:right w:val="nil"/>
          <w:between w:val="nil"/>
        </w:pBdr>
        <w:jc w:val="center"/>
        <w:rPr>
          <w:b/>
          <w:bCs/>
          <w:color w:val="000000"/>
          <w:lang w:val="ro-RO"/>
        </w:rPr>
      </w:pPr>
      <w:r w:rsidRPr="00FD35BE">
        <w:rPr>
          <w:b/>
          <w:bCs/>
          <w:color w:val="000000"/>
          <w:lang w:val="ro-RO"/>
        </w:rPr>
        <w:t>Proiectul „Abilitarea Femeilor prin Servicii de Răspuns la Violența în Bază de Gen” (SAVV)</w:t>
      </w:r>
    </w:p>
    <w:p w14:paraId="39A00B21" w14:textId="77777777" w:rsidR="00FD35BE" w:rsidRPr="00FD35BE" w:rsidRDefault="00FD35BE" w:rsidP="00FD35BE">
      <w:pPr>
        <w:pBdr>
          <w:top w:val="nil"/>
          <w:left w:val="nil"/>
          <w:bottom w:val="nil"/>
          <w:right w:val="nil"/>
          <w:between w:val="nil"/>
        </w:pBdr>
        <w:jc w:val="center"/>
        <w:rPr>
          <w:b/>
          <w:color w:val="000000"/>
          <w:lang w:val="ro-RO"/>
        </w:rPr>
      </w:pPr>
    </w:p>
    <w:p w14:paraId="4BD7CCC6" w14:textId="77777777" w:rsidR="00FD35BE" w:rsidRPr="00FD35BE" w:rsidRDefault="00FD35BE" w:rsidP="00FD35BE">
      <w:pPr>
        <w:pBdr>
          <w:top w:val="nil"/>
          <w:left w:val="nil"/>
          <w:bottom w:val="nil"/>
          <w:right w:val="nil"/>
          <w:between w:val="nil"/>
        </w:pBdr>
        <w:jc w:val="center"/>
        <w:rPr>
          <w:b/>
          <w:bCs/>
          <w:color w:val="000000"/>
          <w:lang w:val="ro-RO"/>
        </w:rPr>
      </w:pPr>
      <w:r w:rsidRPr="00FD35BE">
        <w:rPr>
          <w:b/>
          <w:bCs/>
          <w:color w:val="000000"/>
          <w:lang w:val="ro-RO"/>
        </w:rPr>
        <w:t>Termeni de Referință</w:t>
      </w:r>
    </w:p>
    <w:p w14:paraId="579574E9" w14:textId="77777777" w:rsidR="00A950B0" w:rsidRPr="00FD35BE" w:rsidRDefault="00A950B0" w:rsidP="00FE0BA6">
      <w:pPr>
        <w:pStyle w:val="NoSpacing"/>
        <w:jc w:val="center"/>
        <w:rPr>
          <w:b/>
          <w:bCs/>
          <w:lang w:val="ro-RO"/>
        </w:rPr>
      </w:pPr>
    </w:p>
    <w:p w14:paraId="0B95FCBD" w14:textId="10478750" w:rsidR="00FE0BA6" w:rsidRPr="00FD35BE" w:rsidRDefault="00FD35BE" w:rsidP="00FE0BA6">
      <w:pPr>
        <w:pStyle w:val="NoSpacing"/>
        <w:jc w:val="center"/>
        <w:rPr>
          <w:b/>
          <w:bCs/>
          <w:lang w:val="ro-RO"/>
        </w:rPr>
      </w:pPr>
      <w:bookmarkStart w:id="0" w:name="_Hlk231809379"/>
      <w:r w:rsidRPr="00FD35BE">
        <w:rPr>
          <w:b/>
          <w:bCs/>
          <w:lang w:val="ro-RO"/>
        </w:rPr>
        <w:t>ASIST</w:t>
      </w:r>
      <w:r w:rsidR="003744E6">
        <w:rPr>
          <w:b/>
          <w:bCs/>
          <w:lang w:val="ro-RO"/>
        </w:rPr>
        <w:t>E</w:t>
      </w:r>
      <w:r w:rsidRPr="00FD35BE">
        <w:rPr>
          <w:b/>
          <w:bCs/>
          <w:lang w:val="ro-RO"/>
        </w:rPr>
        <w:t>NT/Ă ÎN PROCURĂRI</w:t>
      </w:r>
    </w:p>
    <w:bookmarkEnd w:id="0"/>
    <w:p w14:paraId="73BB7505" w14:textId="77777777" w:rsidR="004B6D20" w:rsidRPr="00FD35BE" w:rsidRDefault="004B6D20" w:rsidP="00FE0BA6">
      <w:pPr>
        <w:pStyle w:val="NoSpacing"/>
        <w:jc w:val="center"/>
        <w:rPr>
          <w:b/>
          <w:bCs/>
          <w:lang w:val="ro-RO"/>
        </w:rPr>
      </w:pPr>
    </w:p>
    <w:p w14:paraId="6FF31195" w14:textId="05758761" w:rsidR="004B6D20" w:rsidRPr="00FD35BE" w:rsidRDefault="004B6D20" w:rsidP="00FE0BA6">
      <w:pPr>
        <w:pStyle w:val="NoSpacing"/>
        <w:jc w:val="center"/>
        <w:rPr>
          <w:b/>
          <w:bCs/>
          <w:lang w:val="ro-RO"/>
        </w:rPr>
      </w:pPr>
      <w:r w:rsidRPr="00FD35BE">
        <w:rPr>
          <w:b/>
          <w:bCs/>
          <w:lang w:val="ro-RO"/>
        </w:rPr>
        <w:t xml:space="preserve">Ref. no. </w:t>
      </w:r>
      <w:bookmarkStart w:id="1" w:name="_Hlk231809390"/>
      <w:r w:rsidR="001E3DB4" w:rsidRPr="00FD35BE">
        <w:rPr>
          <w:b/>
          <w:bCs/>
          <w:lang w:val="ro-RO"/>
        </w:rPr>
        <w:t>MD-AGC-555878-CS-INDV</w:t>
      </w:r>
      <w:bookmarkEnd w:id="1"/>
    </w:p>
    <w:p w14:paraId="2ECAF4A2" w14:textId="77777777" w:rsidR="00FD35BE" w:rsidRPr="00FD35BE" w:rsidRDefault="00FD35BE" w:rsidP="00FD35BE">
      <w:pPr>
        <w:pStyle w:val="NormalWeb"/>
        <w:numPr>
          <w:ilvl w:val="0"/>
          <w:numId w:val="23"/>
        </w:numPr>
        <w:spacing w:before="240" w:beforeAutospacing="0" w:after="240" w:afterAutospacing="0"/>
        <w:jc w:val="both"/>
        <w:textAlignment w:val="baseline"/>
        <w:rPr>
          <w:b/>
          <w:bCs/>
          <w:color w:val="000000"/>
          <w:lang w:val="ro-RO"/>
        </w:rPr>
      </w:pPr>
      <w:r w:rsidRPr="00FD35BE">
        <w:rPr>
          <w:b/>
          <w:bCs/>
          <w:color w:val="000000"/>
          <w:lang w:val="ro-RO"/>
        </w:rPr>
        <w:t>Introducere și Context General </w:t>
      </w:r>
    </w:p>
    <w:p w14:paraId="3B17B82E" w14:textId="77777777" w:rsidR="00FD35BE" w:rsidRPr="00FD35BE" w:rsidRDefault="00FD35BE" w:rsidP="00FD35BE">
      <w:pPr>
        <w:pStyle w:val="NormalWeb"/>
        <w:spacing w:before="280" w:beforeAutospacing="0" w:after="280" w:afterAutospacing="0"/>
        <w:jc w:val="both"/>
        <w:rPr>
          <w:lang w:val="ro-RO"/>
        </w:rPr>
      </w:pPr>
      <w:r w:rsidRPr="00FD35BE">
        <w:rPr>
          <w:color w:val="000000"/>
          <w:lang w:val="ro-RO"/>
        </w:rPr>
        <w:t>Redresarea economică a Republicii Moldova în 2024 este promițătoare, dar are loc în condiții de provocări semnificative. Efectele invaziei Rusiei în Ucraina, perturbările în aprovizionarea cu energie și instabilitatea politică continuă să afecteze dezvoltarea țării. Reformele structurale – în special în domeniile justiției și combaterii corupției – sunt esențiale pentru aderarea Republicii Moldova la Uniunea Europeană și pentru perspectivele sale pe termen mediu. Sărăcia rămâne răspândită, în special în zonele rurale, iar instrumentele tradiționale de reducere a sărăciei, cum ar fi remitențele și asistența socială, sunt mai puțin eficiente, evidențiind nevoia urgentă de soluții bazate pe ocuparea forței de muncă. Rata scăzută a participării pe piața muncii și ponderea ridicată a tinerilor NEET slăbesc și mai mult piața muncii din Moldova.</w:t>
      </w:r>
    </w:p>
    <w:p w14:paraId="18018193" w14:textId="77777777" w:rsidR="00FD35BE" w:rsidRPr="00FD35BE" w:rsidRDefault="00FD35BE" w:rsidP="00FD35BE">
      <w:pPr>
        <w:pStyle w:val="NormalWeb"/>
        <w:spacing w:before="280" w:beforeAutospacing="0" w:after="280" w:afterAutospacing="0"/>
        <w:jc w:val="both"/>
        <w:rPr>
          <w:lang w:val="ro-RO"/>
        </w:rPr>
      </w:pPr>
      <w:r w:rsidRPr="00FD35BE">
        <w:rPr>
          <w:color w:val="000000"/>
          <w:lang w:val="ro-RO"/>
        </w:rPr>
        <w:t>Războiul din Ucraina a cauzat o contracție a PIB-ului de 5,6% în 2022 și a intensificat vulnerabilitățile grupurilor cu venituri mici și marginalizate. În prezent, Moldova găzduiește între 100.000 și 150.000 de refugiați ucraineni, majoritatea femei și copii, mulți dintre aceștia confruntându-se cu riscuri sporite de violență în bază de gen (GBV), dificultăți economice și excluziune socială. Moldova se numără deja printre țările cu cele mai ridicate rate de violență domestică și trafic de ființe umane din regiune. În pofida unor eforturi, sistemele naționale de răspuns la GBV rămân fragmentate și subfinanțate, cu puține centre de adăpost, servicii sociale limitate și sprijin pe termen lung insuficient pentru supraviețuitoare, în special în ceea ce privește locuințele și abilitarea economică.</w:t>
      </w:r>
    </w:p>
    <w:p w14:paraId="0CD4951C" w14:textId="77777777" w:rsidR="00FD35BE" w:rsidRPr="00FD35BE" w:rsidRDefault="00FD35BE" w:rsidP="00FD35BE">
      <w:pPr>
        <w:pStyle w:val="NormalWeb"/>
        <w:spacing w:before="280" w:beforeAutospacing="0" w:after="280" w:afterAutospacing="0"/>
        <w:jc w:val="both"/>
        <w:rPr>
          <w:lang w:val="ro-RO"/>
        </w:rPr>
      </w:pPr>
      <w:r w:rsidRPr="00FD35BE">
        <w:rPr>
          <w:color w:val="000000"/>
          <w:lang w:val="ro-RO"/>
        </w:rPr>
        <w:t xml:space="preserve">Pentru a răspunde acestor lacune, </w:t>
      </w:r>
      <w:r w:rsidRPr="00FD35BE">
        <w:rPr>
          <w:i/>
          <w:iCs/>
          <w:color w:val="000000"/>
          <w:lang w:val="ro-RO"/>
        </w:rPr>
        <w:t>Proiectul „Abilitarea Femeilor prin Servicii de Răspuns la Violența în Bază de Gen” (SAVV)</w:t>
      </w:r>
      <w:r w:rsidRPr="00FD35BE">
        <w:rPr>
          <w:color w:val="000000"/>
          <w:lang w:val="ro-RO"/>
        </w:rPr>
        <w:t>, finanțat de Fondul pentru Dezvoltare Socială al Japoniei prin Banca Mondială și implementat de AO „Gender-Centru” în parteneriat cu AVE Copiii și alți actori naționali, propune un model pilot care oferă servicii integrate, centrate pe supraviețuitoare, în patru regiuni-țintă ale Moldovei: Chișinău, Bălți, Cahul și Ștefan Vodă.</w:t>
      </w:r>
    </w:p>
    <w:p w14:paraId="52690932" w14:textId="77777777" w:rsidR="00FD35BE" w:rsidRPr="00FD35BE" w:rsidRDefault="00FD35BE" w:rsidP="00FD35BE">
      <w:pPr>
        <w:pStyle w:val="NormalWeb"/>
        <w:spacing w:before="280" w:beforeAutospacing="0" w:after="280" w:afterAutospacing="0"/>
        <w:jc w:val="both"/>
        <w:rPr>
          <w:lang w:val="ro-RO"/>
        </w:rPr>
      </w:pPr>
      <w:r w:rsidRPr="00FD35BE">
        <w:rPr>
          <w:color w:val="000000"/>
          <w:lang w:val="ro-RO"/>
        </w:rPr>
        <w:t>Scopul SAVV este de a îmbunătăți accesul la servicii specializate și integrate pentru supraviețuitoarele violenței în bază de gen (GBV) și de a sprijini abilitarea lor economică, consolidând în același timp capacitatea guvernamentală și a ONG-urilor de a răspunde eficient fenomenului GBV în comunitățile vizate din Republica Moldova.</w:t>
      </w:r>
    </w:p>
    <w:p w14:paraId="22929B95" w14:textId="77777777" w:rsidR="00FD35BE" w:rsidRPr="00FD35BE" w:rsidRDefault="00FD35BE" w:rsidP="00FD35BE">
      <w:pPr>
        <w:pStyle w:val="ListParagraph"/>
        <w:numPr>
          <w:ilvl w:val="0"/>
          <w:numId w:val="23"/>
        </w:numPr>
        <w:pBdr>
          <w:top w:val="nil"/>
          <w:left w:val="nil"/>
          <w:bottom w:val="nil"/>
          <w:right w:val="nil"/>
          <w:between w:val="nil"/>
        </w:pBdr>
        <w:tabs>
          <w:tab w:val="left" w:pos="450"/>
        </w:tabs>
        <w:spacing w:before="240" w:after="240"/>
        <w:jc w:val="both"/>
        <w:rPr>
          <w:b/>
          <w:bCs/>
          <w:color w:val="000000"/>
          <w:lang w:val="ro-RO"/>
        </w:rPr>
      </w:pPr>
      <w:r w:rsidRPr="00FD35BE">
        <w:rPr>
          <w:b/>
          <w:bCs/>
          <w:color w:val="000000"/>
          <w:lang w:val="ro-RO"/>
        </w:rPr>
        <w:t>Descrierea Proiectului</w:t>
      </w:r>
    </w:p>
    <w:p w14:paraId="6D67637D" w14:textId="77777777" w:rsidR="00FD35BE" w:rsidRPr="00FD35BE" w:rsidRDefault="00FD35BE" w:rsidP="00FD35BE">
      <w:pPr>
        <w:pStyle w:val="NormalWeb"/>
        <w:spacing w:before="0" w:beforeAutospacing="0" w:after="0" w:afterAutospacing="0"/>
        <w:jc w:val="both"/>
        <w:rPr>
          <w:lang w:val="ro-RO"/>
        </w:rPr>
      </w:pPr>
      <w:r w:rsidRPr="00FD35BE">
        <w:rPr>
          <w:b/>
          <w:bCs/>
          <w:i/>
          <w:iCs/>
          <w:color w:val="000000"/>
          <w:lang w:val="ro-RO"/>
        </w:rPr>
        <w:t>Componenta 1: Abilitarea femeilor supraviețuitoare, inclusiv a refugiatelor, prin servicii îmbunătățite de răspuns la GBV și management de caz (2,086,255 USD)</w:t>
      </w:r>
    </w:p>
    <w:p w14:paraId="3260B3BD" w14:textId="77777777" w:rsidR="00FD35BE" w:rsidRPr="00FD35BE" w:rsidRDefault="00FD35BE" w:rsidP="00FD35BE">
      <w:pPr>
        <w:pStyle w:val="NormalWeb"/>
        <w:spacing w:before="280" w:beforeAutospacing="0" w:after="280" w:afterAutospacing="0"/>
        <w:jc w:val="both"/>
        <w:rPr>
          <w:lang w:val="ro-RO"/>
        </w:rPr>
      </w:pPr>
      <w:r w:rsidRPr="00FD35BE">
        <w:rPr>
          <w:i/>
          <w:iCs/>
          <w:color w:val="000000"/>
          <w:lang w:val="ro-RO"/>
        </w:rPr>
        <w:lastRenderedPageBreak/>
        <w:t>Subcomponenta 1.1 Asistență de urgență</w:t>
      </w:r>
      <w:r w:rsidRPr="00FD35BE">
        <w:rPr>
          <w:color w:val="000000"/>
          <w:lang w:val="ro-RO"/>
        </w:rPr>
        <w:t>: Oferirea de adăpost temporar și locuințe de tranziție pentru 300 de supraviețuitoare ale GBV și copiii acestora, însoțite de asistență psihosocială, juridică, medicală și socială, personalizată în funcție de necesități. De asemenea, vor beneficia de reprezentare juridică și vor participa la programe de dezvoltare personală și pregătire pentru angajare.</w:t>
      </w:r>
    </w:p>
    <w:p w14:paraId="42DC20EB" w14:textId="77777777" w:rsidR="00FD35BE" w:rsidRPr="00FD35BE" w:rsidRDefault="00FD35BE" w:rsidP="00FD35BE">
      <w:pPr>
        <w:pStyle w:val="NormalWeb"/>
        <w:spacing w:before="280" w:beforeAutospacing="0" w:after="280" w:afterAutospacing="0"/>
        <w:jc w:val="both"/>
        <w:rPr>
          <w:lang w:val="ro-RO"/>
        </w:rPr>
      </w:pPr>
      <w:r w:rsidRPr="00FD35BE">
        <w:rPr>
          <w:i/>
          <w:iCs/>
          <w:color w:val="000000"/>
          <w:lang w:val="ro-RO"/>
        </w:rPr>
        <w:t>Subcomponenta 1.2 Abilitare economică – Opțiunea 1</w:t>
      </w:r>
      <w:r w:rsidRPr="00FD35BE">
        <w:rPr>
          <w:color w:val="000000"/>
          <w:lang w:val="ro-RO"/>
        </w:rPr>
        <w:t>: Sprijin pentru supraviețuitoarele fără calificări profesionale prin formare profesională și angajare asistată, facilitând accesul la locuri de muncă.</w:t>
      </w:r>
    </w:p>
    <w:p w14:paraId="11E7A73F" w14:textId="77777777" w:rsidR="00FD35BE" w:rsidRPr="00FD35BE" w:rsidRDefault="00FD35BE" w:rsidP="00FD35BE">
      <w:pPr>
        <w:pStyle w:val="NormalWeb"/>
        <w:spacing w:before="280" w:beforeAutospacing="0" w:after="280" w:afterAutospacing="0"/>
        <w:jc w:val="both"/>
        <w:rPr>
          <w:lang w:val="ro-RO"/>
        </w:rPr>
      </w:pPr>
      <w:r w:rsidRPr="00FD35BE">
        <w:rPr>
          <w:i/>
          <w:iCs/>
          <w:color w:val="000000"/>
          <w:lang w:val="ro-RO"/>
        </w:rPr>
        <w:t>Subcomponenta 1.3 Abilitare economică – Opțiunea 2</w:t>
      </w:r>
      <w:r w:rsidRPr="00FD35BE">
        <w:rPr>
          <w:color w:val="000000"/>
          <w:lang w:val="ro-RO"/>
        </w:rPr>
        <w:t>: Sprijin pentru dezvoltarea de afaceri proprii, inclusiv instruiri în antreprenoriat, planuri de afaceri și resurse pentru lansarea unor activități independente sau microîntreprinderi sustenabile.</w:t>
      </w:r>
    </w:p>
    <w:p w14:paraId="7F07E77C" w14:textId="77777777" w:rsidR="00FD35BE" w:rsidRPr="00FD35BE" w:rsidRDefault="00FD35BE" w:rsidP="00FD35BE">
      <w:pPr>
        <w:pStyle w:val="NormalWeb"/>
        <w:spacing w:before="0" w:beforeAutospacing="0" w:after="0" w:afterAutospacing="0"/>
        <w:jc w:val="both"/>
        <w:rPr>
          <w:lang w:val="ro-RO"/>
        </w:rPr>
      </w:pPr>
      <w:r w:rsidRPr="00FD35BE">
        <w:rPr>
          <w:b/>
          <w:bCs/>
          <w:i/>
          <w:iCs/>
          <w:color w:val="000000"/>
          <w:lang w:val="ro-RO"/>
        </w:rPr>
        <w:t>Componenta 2: Consolidarea mecanismului instituțional de combatere a GBV (215,850 USD)</w:t>
      </w:r>
    </w:p>
    <w:p w14:paraId="6D488AD0" w14:textId="77777777" w:rsidR="00FD35BE" w:rsidRPr="00FD35BE" w:rsidRDefault="00FD35BE" w:rsidP="00FD35BE">
      <w:pPr>
        <w:pStyle w:val="NormalWeb"/>
        <w:spacing w:before="280" w:beforeAutospacing="0" w:after="280" w:afterAutospacing="0"/>
        <w:jc w:val="both"/>
        <w:rPr>
          <w:lang w:val="ro-RO"/>
        </w:rPr>
      </w:pPr>
      <w:r w:rsidRPr="00FD35BE">
        <w:rPr>
          <w:i/>
          <w:iCs/>
          <w:color w:val="000000"/>
          <w:lang w:val="ro-RO"/>
        </w:rPr>
        <w:t>Subcomponenta 2.1 Consolidarea capacităților instituționale privind abordarea centrată pe supraviețuitoare și managementul de caz</w:t>
      </w:r>
      <w:r w:rsidRPr="00FD35BE">
        <w:rPr>
          <w:color w:val="000000"/>
          <w:lang w:val="ro-RO"/>
        </w:rPr>
        <w:t>: Formare pentru peste 200 de specialiști din cadrul ANOFM, ANPCVD și alte instituții implicate, precum și elaborarea unui ghid de tip „Snapshot” pentru managementul de caz.</w:t>
      </w:r>
    </w:p>
    <w:p w14:paraId="130236B1" w14:textId="77777777" w:rsidR="00FD35BE" w:rsidRPr="00FD35BE" w:rsidRDefault="00FD35BE" w:rsidP="00FD35BE">
      <w:pPr>
        <w:pStyle w:val="NormalWeb"/>
        <w:spacing w:before="280" w:beforeAutospacing="0" w:after="280" w:afterAutospacing="0"/>
        <w:jc w:val="both"/>
        <w:rPr>
          <w:lang w:val="ro-RO"/>
        </w:rPr>
      </w:pPr>
      <w:r w:rsidRPr="00FD35BE">
        <w:rPr>
          <w:i/>
          <w:iCs/>
          <w:color w:val="000000"/>
          <w:lang w:val="ro-RO"/>
        </w:rPr>
        <w:t>Subcomponenta 2.2 Campanii de prevenire și sensibilizare</w:t>
      </w:r>
      <w:r w:rsidRPr="00FD35BE">
        <w:rPr>
          <w:color w:val="000000"/>
          <w:lang w:val="ro-RO"/>
        </w:rPr>
        <w:t>: Activități de informare a comunităților despre GBV și serviciile disponibile, prin sesiuni educaționale în parteneriat cu Asociația Bibliotecarilor, spoturi TV/radio și materiale pentru social media.</w:t>
      </w:r>
    </w:p>
    <w:p w14:paraId="56F8D1C8" w14:textId="77777777" w:rsidR="00FD35BE" w:rsidRPr="00FD35BE" w:rsidRDefault="00FD35BE" w:rsidP="00FD35BE">
      <w:pPr>
        <w:pStyle w:val="NormalWeb"/>
        <w:spacing w:before="0" w:beforeAutospacing="0" w:after="0" w:afterAutospacing="0"/>
        <w:jc w:val="both"/>
        <w:rPr>
          <w:lang w:val="ro-RO"/>
        </w:rPr>
      </w:pPr>
      <w:r w:rsidRPr="00FD35BE">
        <w:rPr>
          <w:b/>
          <w:bCs/>
          <w:i/>
          <w:iCs/>
          <w:color w:val="000000"/>
          <w:lang w:val="ro-RO"/>
        </w:rPr>
        <w:t>Componenta 3: Managementul și administrarea proiectului, monitorizare și evaluare, diseminare a cunoștințelor (452,195 USD)</w:t>
      </w:r>
    </w:p>
    <w:p w14:paraId="2294C950" w14:textId="77777777" w:rsidR="00FD35BE" w:rsidRPr="00FD35BE" w:rsidRDefault="00FD35BE" w:rsidP="00FD35BE">
      <w:pPr>
        <w:pStyle w:val="NormalWeb"/>
        <w:spacing w:before="280" w:beforeAutospacing="0" w:after="280" w:afterAutospacing="0"/>
        <w:jc w:val="both"/>
        <w:rPr>
          <w:lang w:val="ro-RO"/>
        </w:rPr>
      </w:pPr>
      <w:r w:rsidRPr="00FD35BE">
        <w:rPr>
          <w:i/>
          <w:iCs/>
          <w:color w:val="000000"/>
          <w:lang w:val="ro-RO"/>
        </w:rPr>
        <w:t>Subcomponenta 3.1 Management și Administrare a Proiectului:</w:t>
      </w:r>
      <w:r w:rsidRPr="00FD35BE">
        <w:rPr>
          <w:color w:val="000000"/>
          <w:lang w:val="ro-RO"/>
        </w:rPr>
        <w:t xml:space="preserve"> Această subcomponentă urmărește asigurarea unui management și a unei administrări robuste a proiectului prin planificare anuală, supraveghere financiară, achiziții publice și un sistem cuprinzător de monitorizare și evaluare. Toate aceste activități vor fi coordonate de Gender-Centru și sprijinite de îndrumarea și supravegherea externă a unui Comitet de Coordonare format din mai mulți actori relevanți, care se va întruni semestrial.</w:t>
      </w:r>
    </w:p>
    <w:p w14:paraId="40FBCBDE" w14:textId="77777777" w:rsidR="00FD35BE" w:rsidRPr="00FD35BE" w:rsidRDefault="00FD35BE" w:rsidP="00FD35BE">
      <w:pPr>
        <w:pStyle w:val="NormalWeb"/>
        <w:spacing w:before="280" w:beforeAutospacing="0" w:after="280" w:afterAutospacing="0"/>
        <w:jc w:val="both"/>
        <w:rPr>
          <w:lang w:val="ro-RO"/>
        </w:rPr>
      </w:pPr>
      <w:r w:rsidRPr="00FD35BE">
        <w:rPr>
          <w:i/>
          <w:iCs/>
          <w:color w:val="000000"/>
          <w:lang w:val="ro-RO"/>
        </w:rPr>
        <w:t>Subcomponenta 3.2 Monitorizare și Evaluare (M&amp;E):</w:t>
      </w:r>
      <w:r w:rsidRPr="00FD35BE">
        <w:rPr>
          <w:color w:val="000000"/>
          <w:lang w:val="ro-RO"/>
        </w:rPr>
        <w:t xml:space="preserve"> Această subcomponentă urmărește instituirea unui sistem solid de monitorizare și evaluare pentru a urmări cu rigurozitate cazurile de violență în bază de gen (GBV), a analiza progresul beneficiarilor și a genera „învățare de proiect”, în vederea identificării strategiilor eficiente și a corectării eventualelor lacune în furnizarea serviciilor, respectând în același timp protocoalele stricte de protecție a datelor.</w:t>
      </w:r>
    </w:p>
    <w:p w14:paraId="16C8DA45" w14:textId="77777777" w:rsidR="00FD35BE" w:rsidRPr="00FD35BE" w:rsidRDefault="00FD35BE" w:rsidP="00FD35BE">
      <w:pPr>
        <w:pBdr>
          <w:top w:val="nil"/>
          <w:left w:val="nil"/>
          <w:bottom w:val="nil"/>
          <w:right w:val="nil"/>
          <w:between w:val="nil"/>
        </w:pBdr>
        <w:jc w:val="both"/>
        <w:rPr>
          <w:i/>
          <w:color w:val="000000"/>
          <w:lang w:val="ro-RO"/>
        </w:rPr>
      </w:pPr>
      <w:r w:rsidRPr="00FD35BE">
        <w:rPr>
          <w:i/>
          <w:iCs/>
          <w:color w:val="000000"/>
          <w:lang w:val="ro-RO"/>
        </w:rPr>
        <w:t>Subcomponenta 3.3 Diseminarea Cunoștințelor</w:t>
      </w:r>
      <w:r w:rsidRPr="00FD35BE">
        <w:rPr>
          <w:b/>
          <w:bCs/>
          <w:color w:val="000000"/>
          <w:lang w:val="ro-RO"/>
        </w:rPr>
        <w:t>:</w:t>
      </w:r>
      <w:r w:rsidRPr="00FD35BE">
        <w:rPr>
          <w:color w:val="000000"/>
          <w:lang w:val="ro-RO"/>
        </w:rPr>
        <w:t xml:space="preserve"> Această subcomponentă are ca scop diseminarea cunoștințelor și bunelor practici prin diverse canale, inclusiv instruiri pentru specialiști din instituții guvernamentale și ONG-uri, sesiuni de informare pentru elevi și adulți prin intermediul Asociației Naționale a Bibliotecarilor, difuzarea de spoturi radio și TV despre serviciile GBV, precum și elaborarea de note de orientare bazate pe evaluarea proiectului și analiza managementului de caz.</w:t>
      </w:r>
    </w:p>
    <w:p w14:paraId="3D1E5803" w14:textId="57A0B7E9" w:rsidR="00A950B0" w:rsidRPr="00FD35BE" w:rsidRDefault="00FD35BE" w:rsidP="00FD35BE">
      <w:pPr>
        <w:pStyle w:val="ListParagraph"/>
        <w:numPr>
          <w:ilvl w:val="0"/>
          <w:numId w:val="23"/>
        </w:numPr>
        <w:tabs>
          <w:tab w:val="left" w:pos="450"/>
        </w:tabs>
        <w:spacing w:before="240" w:after="240"/>
        <w:jc w:val="both"/>
        <w:rPr>
          <w:b/>
          <w:lang w:val="ro-RO"/>
        </w:rPr>
      </w:pPr>
      <w:r>
        <w:rPr>
          <w:b/>
          <w:lang w:val="ro-RO"/>
        </w:rPr>
        <w:lastRenderedPageBreak/>
        <w:t>Scop și obiectiv</w:t>
      </w:r>
    </w:p>
    <w:p w14:paraId="577776E5" w14:textId="37446E38" w:rsidR="00FD35BE" w:rsidRPr="00FD35BE" w:rsidRDefault="00FD35BE" w:rsidP="00295DC4">
      <w:pPr>
        <w:jc w:val="both"/>
        <w:rPr>
          <w:lang w:val="ro-RO"/>
        </w:rPr>
      </w:pPr>
      <w:r w:rsidRPr="00FD35BE">
        <w:rPr>
          <w:lang w:val="ro-RO"/>
        </w:rPr>
        <w:t xml:space="preserve">Acești Termeni de Referință (ToR) sunt elaborați pentru recrutarea </w:t>
      </w:r>
      <w:bookmarkStart w:id="2" w:name="_Hlk231809415"/>
      <w:r w:rsidRPr="00FD35BE">
        <w:rPr>
          <w:lang w:val="ro-RO"/>
        </w:rPr>
        <w:t>unui/unei Asistent/e în Procurări, care va furniza servicii specializate de consultanță în domeniul achizițiilor pentru Asociația „Gender-Centru”, în vederea asigurării implementării la timp a proiectului WEGS și a conformității cu Acordurile semnate cu Banca Mondială, cu prevederile documentului „</w:t>
      </w:r>
      <w:hyperlink r:id="rId5" w:history="1">
        <w:r w:rsidRPr="00FD35BE">
          <w:rPr>
            <w:rStyle w:val="Hyperlink"/>
            <w:lang w:val="ro-RO"/>
          </w:rPr>
          <w:t>Regulamentele privind Achizițiile pentru Beneficiarii Finanțărilor pentru Proiecte de Investiții (IPF): Achiziția de Bunuri, Lucrări, Servicii Non-Consultative și Servicii de Consultanță</w:t>
        </w:r>
      </w:hyperlink>
      <w:r w:rsidRPr="00FD35BE">
        <w:rPr>
          <w:lang w:val="ro-RO"/>
        </w:rPr>
        <w:t>”, ediția septembrie 2023, cu regulamentele și procedurile interne ale Asociației „Gender-Centru”, precum și cu legislația națională aplicabilă.</w:t>
      </w:r>
    </w:p>
    <w:bookmarkEnd w:id="2"/>
    <w:p w14:paraId="2C0F6885" w14:textId="66298C08" w:rsidR="00A950B0" w:rsidRPr="00FD35BE" w:rsidRDefault="00A950B0" w:rsidP="00295DC4">
      <w:pPr>
        <w:jc w:val="both"/>
        <w:rPr>
          <w:lang w:val="ro-RO"/>
        </w:rPr>
      </w:pPr>
    </w:p>
    <w:p w14:paraId="67C5840E" w14:textId="3EB183C8" w:rsidR="00FD35BE" w:rsidRPr="00FD35BE" w:rsidRDefault="00FD35BE" w:rsidP="00295DC4">
      <w:pPr>
        <w:jc w:val="both"/>
        <w:rPr>
          <w:bCs/>
          <w:i/>
          <w:iCs/>
          <w:lang w:val="ro-RO"/>
        </w:rPr>
      </w:pPr>
      <w:r w:rsidRPr="00FD35BE">
        <w:rPr>
          <w:lang w:val="ro-RO"/>
        </w:rPr>
        <w:t xml:space="preserve">Expertiza Asistentului/Asistentei în Procurări selectat/e va fi necesară pentru implementarea </w:t>
      </w:r>
      <w:r w:rsidRPr="00FD35BE">
        <w:rPr>
          <w:b/>
          <w:bCs/>
          <w:i/>
          <w:iCs/>
          <w:lang w:val="ro-RO"/>
        </w:rPr>
        <w:t>Componentei 1: Abilitarea femeilor supraviețuitoare ale violenței, inclusiv a refugiatelor, prin îmbunătățirea serviciilor de răspuns la violența bazată pe gen (VBG) și a managementului de caz; Componentei 2: Consolidarea mecanismului instituțional de combatere a VBG; precum și Componentei 3: Managementul și administrarea proiectului, monitorizarea și evaluarea (M&amp;E)</w:t>
      </w:r>
      <w:r w:rsidRPr="00FD35BE">
        <w:rPr>
          <w:lang w:val="ro-RO"/>
        </w:rPr>
        <w:t xml:space="preserve"> </w:t>
      </w:r>
      <w:r w:rsidRPr="00FD35BE">
        <w:rPr>
          <w:b/>
          <w:bCs/>
          <w:i/>
          <w:iCs/>
          <w:lang w:val="ro-RO"/>
        </w:rPr>
        <w:t>și diseminarea cunoștințelor.</w:t>
      </w:r>
    </w:p>
    <w:p w14:paraId="619F861B" w14:textId="3D78E90C" w:rsidR="00FD35BE" w:rsidRPr="00FD35BE" w:rsidRDefault="00FD35BE" w:rsidP="00FD35BE">
      <w:pPr>
        <w:spacing w:before="100" w:beforeAutospacing="1" w:after="100" w:afterAutospacing="1"/>
        <w:rPr>
          <w:rFonts w:eastAsia="Times New Roman"/>
          <w:lang w:val="ro-RO"/>
        </w:rPr>
      </w:pPr>
      <w:r w:rsidRPr="00FD35BE">
        <w:rPr>
          <w:rFonts w:eastAsia="Times New Roman"/>
          <w:lang w:val="ro-RO"/>
        </w:rPr>
        <w:t>Responsabilitățile Asistentului/Asistentei în Procurări vor include, fără a se limita la:</w:t>
      </w:r>
    </w:p>
    <w:p w14:paraId="3FE8A3C2" w14:textId="256CC382" w:rsidR="00FD35BE" w:rsidRPr="00FD35BE" w:rsidRDefault="00FD35BE" w:rsidP="00FD35BE">
      <w:pPr>
        <w:pStyle w:val="ListParagraph"/>
        <w:numPr>
          <w:ilvl w:val="0"/>
          <w:numId w:val="22"/>
        </w:numPr>
        <w:spacing w:after="120"/>
        <w:jc w:val="both"/>
        <w:rPr>
          <w:rFonts w:eastAsia="Times New Roman"/>
          <w:lang w:val="ro-RO"/>
        </w:rPr>
      </w:pPr>
      <w:r w:rsidRPr="00FD35BE">
        <w:rPr>
          <w:rFonts w:eastAsia="Times New Roman"/>
          <w:lang w:val="ro-RO"/>
        </w:rPr>
        <w:t>Gestionarea strategiei generale de achiziții și contribuția la planificarea și programarea activităților proiectului care urmează să fie implementate de Asociația „Gender-Centru” în cadrul fiecărei componente a proiectului;</w:t>
      </w:r>
    </w:p>
    <w:p w14:paraId="5ADF1D2C" w14:textId="0AC0199E" w:rsidR="00FD35BE" w:rsidRPr="00FD35BE" w:rsidRDefault="00FD35BE" w:rsidP="00FD35BE">
      <w:pPr>
        <w:pStyle w:val="ListParagraph"/>
        <w:numPr>
          <w:ilvl w:val="0"/>
          <w:numId w:val="22"/>
        </w:numPr>
        <w:spacing w:after="120"/>
        <w:jc w:val="both"/>
        <w:rPr>
          <w:rFonts w:eastAsia="Times New Roman"/>
          <w:lang w:val="ro-RO"/>
        </w:rPr>
      </w:pPr>
      <w:r w:rsidRPr="00FD35BE">
        <w:rPr>
          <w:rFonts w:eastAsia="Times New Roman"/>
          <w:lang w:val="ro-RO"/>
        </w:rPr>
        <w:t>Asigurarea conformității proceselor de achiziții cu Regulamentele Băncii Mondiale privind achizițiile, cu regulamentele și procedurile interne ale Asociației „Gender-Centru”, precum și cu legislația națională;</w:t>
      </w:r>
    </w:p>
    <w:p w14:paraId="3C6EF6B4" w14:textId="684366A4" w:rsidR="00FD35BE" w:rsidRPr="00FD35BE" w:rsidRDefault="00FD35BE" w:rsidP="00FD35BE">
      <w:pPr>
        <w:pStyle w:val="ListParagraph"/>
        <w:numPr>
          <w:ilvl w:val="0"/>
          <w:numId w:val="22"/>
        </w:numPr>
        <w:spacing w:after="120"/>
        <w:jc w:val="both"/>
        <w:rPr>
          <w:rFonts w:eastAsia="Times New Roman"/>
          <w:lang w:val="ro-RO"/>
        </w:rPr>
      </w:pPr>
      <w:r w:rsidRPr="00FD35BE">
        <w:rPr>
          <w:rFonts w:eastAsia="Times New Roman"/>
          <w:lang w:val="ro-RO"/>
        </w:rPr>
        <w:t>Asigurarea implementării eficiente a proceselor de achiziții din cadrul proiectului, cu respectarea principiilor economiei și eficienței;</w:t>
      </w:r>
    </w:p>
    <w:p w14:paraId="07FB2971" w14:textId="62034C4D" w:rsidR="00FD35BE" w:rsidRPr="00FD35BE" w:rsidRDefault="00FD35BE" w:rsidP="00FD35BE">
      <w:pPr>
        <w:pStyle w:val="ListParagraph"/>
        <w:numPr>
          <w:ilvl w:val="0"/>
          <w:numId w:val="22"/>
        </w:numPr>
        <w:spacing w:after="120"/>
        <w:jc w:val="both"/>
        <w:rPr>
          <w:rFonts w:eastAsia="Times New Roman"/>
          <w:lang w:val="ro-RO"/>
        </w:rPr>
      </w:pPr>
      <w:r w:rsidRPr="00FD35BE">
        <w:rPr>
          <w:rFonts w:eastAsia="Times New Roman"/>
          <w:lang w:val="ro-RO"/>
        </w:rPr>
        <w:t>Asigurarea faptului că opiniile și feedbackul participanților la piață sunt reflectate în elaborarea strategiilor de achiziții și a documentației de licitație ale proiectului;</w:t>
      </w:r>
    </w:p>
    <w:p w14:paraId="4971838E" w14:textId="02BDB515" w:rsidR="00FD35BE" w:rsidRPr="00FD35BE" w:rsidRDefault="00FD35BE" w:rsidP="00FD35BE">
      <w:pPr>
        <w:pStyle w:val="ListParagraph"/>
        <w:numPr>
          <w:ilvl w:val="0"/>
          <w:numId w:val="22"/>
        </w:numPr>
        <w:spacing w:after="120"/>
        <w:jc w:val="both"/>
        <w:rPr>
          <w:rFonts w:eastAsia="Times New Roman"/>
          <w:lang w:val="ro-RO"/>
        </w:rPr>
      </w:pPr>
      <w:r w:rsidRPr="00FD35BE">
        <w:rPr>
          <w:rFonts w:eastAsia="Times New Roman"/>
          <w:lang w:val="ro-RO"/>
        </w:rPr>
        <w:t>Elaborarea documentației de achiziții pentru activitățile proiectului, participarea la evaluarea ofertelor și oferirea de consultanță altor membri ai echipei de conducere a proiectului și comisiilor de evaluare;</w:t>
      </w:r>
    </w:p>
    <w:p w14:paraId="22D0BE92" w14:textId="3043927A" w:rsidR="00FD35BE" w:rsidRPr="00FD35BE" w:rsidRDefault="00FD35BE" w:rsidP="00FD35BE">
      <w:pPr>
        <w:pStyle w:val="ListParagraph"/>
        <w:numPr>
          <w:ilvl w:val="0"/>
          <w:numId w:val="22"/>
        </w:numPr>
        <w:spacing w:after="120"/>
        <w:jc w:val="both"/>
        <w:rPr>
          <w:rFonts w:eastAsia="Times New Roman"/>
          <w:lang w:val="ro-RO"/>
        </w:rPr>
      </w:pPr>
      <w:r w:rsidRPr="00FD35BE">
        <w:rPr>
          <w:rFonts w:eastAsia="Times New Roman"/>
          <w:lang w:val="ro-RO"/>
        </w:rPr>
        <w:t>Elaborarea proiectelor de contracte și contribuția la coordonarea implementării acestora; precum și alte sarcini conexe.</w:t>
      </w:r>
    </w:p>
    <w:p w14:paraId="651A7AA9" w14:textId="77777777" w:rsidR="00FD35BE" w:rsidRPr="00FD35BE" w:rsidRDefault="00FD35BE" w:rsidP="00FD35BE">
      <w:pPr>
        <w:spacing w:after="120"/>
        <w:jc w:val="both"/>
        <w:rPr>
          <w:rFonts w:eastAsia="Times New Roman"/>
          <w:lang w:val="ro-RO"/>
        </w:rPr>
      </w:pPr>
    </w:p>
    <w:p w14:paraId="5781B0DF" w14:textId="63B908E2" w:rsidR="00507916" w:rsidRPr="00FD35BE" w:rsidRDefault="00671642" w:rsidP="00FD35BE">
      <w:pPr>
        <w:tabs>
          <w:tab w:val="left" w:pos="450"/>
        </w:tabs>
        <w:spacing w:before="240" w:after="240"/>
        <w:jc w:val="both"/>
        <w:rPr>
          <w:b/>
          <w:lang w:val="ro-RO"/>
        </w:rPr>
      </w:pPr>
      <w:r w:rsidRPr="00FD35BE">
        <w:rPr>
          <w:b/>
          <w:lang w:val="ro-RO"/>
        </w:rPr>
        <w:tab/>
        <w:t xml:space="preserve">D. </w:t>
      </w:r>
      <w:r w:rsidR="00FD35BE" w:rsidRPr="00FD35BE">
        <w:rPr>
          <w:b/>
          <w:lang w:val="ro-RO"/>
        </w:rPr>
        <w:t>Atribuții și responsabilități</w:t>
      </w:r>
      <w:r w:rsidRPr="00FD35BE">
        <w:rPr>
          <w:b/>
          <w:lang w:val="ro-RO"/>
        </w:rPr>
        <w:t xml:space="preserve"> </w:t>
      </w:r>
    </w:p>
    <w:p w14:paraId="4C15ECB6" w14:textId="4EAFD69A" w:rsidR="00FD35BE" w:rsidRPr="00FD35BE" w:rsidRDefault="00FD35BE" w:rsidP="00FD35BE">
      <w:pPr>
        <w:pStyle w:val="ListParagraph"/>
        <w:numPr>
          <w:ilvl w:val="0"/>
          <w:numId w:val="20"/>
        </w:numPr>
        <w:spacing w:before="100" w:beforeAutospacing="1" w:after="100" w:afterAutospacing="1"/>
        <w:jc w:val="both"/>
        <w:rPr>
          <w:rFonts w:eastAsia="Times New Roman"/>
          <w:lang w:val="ro-RO"/>
        </w:rPr>
      </w:pPr>
      <w:r w:rsidRPr="00FD35BE">
        <w:rPr>
          <w:rFonts w:eastAsia="Times New Roman"/>
          <w:lang w:val="ro-RO"/>
        </w:rPr>
        <w:t>Coordonează toate activitățile aferente proceselor de achiziții din cadrul proiectului SAVV care urmează să fie implementate de Asociația „Gender-Centru”;</w:t>
      </w:r>
    </w:p>
    <w:p w14:paraId="0026CD80" w14:textId="122210C9" w:rsidR="00FD35BE" w:rsidRPr="00FD35BE" w:rsidRDefault="00FD35BE" w:rsidP="00FD35BE">
      <w:pPr>
        <w:pStyle w:val="ListParagraph"/>
        <w:numPr>
          <w:ilvl w:val="0"/>
          <w:numId w:val="20"/>
        </w:numPr>
        <w:spacing w:before="100" w:beforeAutospacing="1" w:after="100" w:afterAutospacing="1"/>
        <w:jc w:val="both"/>
        <w:rPr>
          <w:rFonts w:eastAsia="Times New Roman"/>
          <w:lang w:val="ro-RO"/>
        </w:rPr>
      </w:pPr>
      <w:r w:rsidRPr="00FD35BE">
        <w:rPr>
          <w:rFonts w:eastAsia="Times New Roman"/>
          <w:lang w:val="ro-RO"/>
        </w:rPr>
        <w:t>Elaborează și actualizează Planul de Achiziții al proiectului SAVV;</w:t>
      </w:r>
    </w:p>
    <w:p w14:paraId="6BA650A2" w14:textId="29377EFD" w:rsidR="00FD35BE" w:rsidRPr="00FD35BE" w:rsidRDefault="00FD35BE" w:rsidP="00FD35BE">
      <w:pPr>
        <w:pStyle w:val="ListParagraph"/>
        <w:numPr>
          <w:ilvl w:val="0"/>
          <w:numId w:val="20"/>
        </w:numPr>
        <w:spacing w:before="100" w:beforeAutospacing="1" w:after="100" w:afterAutospacing="1"/>
        <w:jc w:val="both"/>
        <w:rPr>
          <w:rFonts w:eastAsia="Times New Roman"/>
          <w:lang w:val="ro-RO"/>
        </w:rPr>
      </w:pPr>
      <w:r w:rsidRPr="00FD35BE">
        <w:rPr>
          <w:rFonts w:eastAsia="Times New Roman"/>
          <w:lang w:val="ro-RO"/>
        </w:rPr>
        <w:t xml:space="preserve">Creează și actualizează versiunea electronică a Planului de Achiziții și desfășoară procedurile de achiziții pentru bunuri, lucrări, servicii non-consultative și servicii de consultanță în cadrul sistemului STEP (Systematic Tracking of Exchanges in Procurement). </w:t>
      </w:r>
      <w:r w:rsidRPr="00FD35BE">
        <w:rPr>
          <w:rFonts w:eastAsia="Times New Roman"/>
          <w:lang w:val="ro-RO"/>
        </w:rPr>
        <w:lastRenderedPageBreak/>
        <w:t>Planurile de Achiziții vor fi elaborate, revizuite și aprobate în consultare cu Liderul/Liderii Echipei de Proiect a Băncii Mondiale și specialistul/specialiștii în achiziții;</w:t>
      </w:r>
    </w:p>
    <w:p w14:paraId="66704C57" w14:textId="5A6110BA" w:rsidR="00FD35BE" w:rsidRPr="00FD35BE" w:rsidRDefault="00FD35BE" w:rsidP="00FD35BE">
      <w:pPr>
        <w:pStyle w:val="ListParagraph"/>
        <w:numPr>
          <w:ilvl w:val="0"/>
          <w:numId w:val="20"/>
        </w:numPr>
        <w:spacing w:before="100" w:beforeAutospacing="1" w:after="100" w:afterAutospacing="1"/>
        <w:jc w:val="both"/>
        <w:rPr>
          <w:rFonts w:eastAsia="Times New Roman"/>
          <w:lang w:val="ro-RO"/>
        </w:rPr>
      </w:pPr>
      <w:r w:rsidRPr="00FD35BE">
        <w:rPr>
          <w:rFonts w:eastAsia="Times New Roman"/>
          <w:lang w:val="ro-RO"/>
        </w:rPr>
        <w:t>Revizuiește și actualizează Strategia de Achiziții a Proiectului pentru Dezvoltare (PPSD);</w:t>
      </w:r>
    </w:p>
    <w:p w14:paraId="7D2D86A2" w14:textId="128BBC85" w:rsidR="00FD35BE" w:rsidRPr="00FD35BE" w:rsidRDefault="00FD35BE" w:rsidP="00FD35BE">
      <w:pPr>
        <w:pStyle w:val="ListParagraph"/>
        <w:numPr>
          <w:ilvl w:val="0"/>
          <w:numId w:val="20"/>
        </w:numPr>
        <w:spacing w:before="100" w:beforeAutospacing="1" w:after="100" w:afterAutospacing="1"/>
        <w:jc w:val="both"/>
        <w:rPr>
          <w:rFonts w:eastAsia="Times New Roman"/>
          <w:lang w:val="ro-RO"/>
        </w:rPr>
      </w:pPr>
      <w:r w:rsidRPr="00FD35BE">
        <w:rPr>
          <w:rFonts w:eastAsia="Times New Roman"/>
          <w:lang w:val="ro-RO"/>
        </w:rPr>
        <w:t>Desfășoară procedurile de achiziții care îi sunt atribuite și informează echipa în cazul identificării unor întârzieri semnificative;</w:t>
      </w:r>
    </w:p>
    <w:p w14:paraId="5692FDAB" w14:textId="4BB07371" w:rsidR="00FD35BE" w:rsidRPr="00FD35BE" w:rsidRDefault="00FD35BE" w:rsidP="00FD35BE">
      <w:pPr>
        <w:pStyle w:val="ListParagraph"/>
        <w:numPr>
          <w:ilvl w:val="0"/>
          <w:numId w:val="20"/>
        </w:numPr>
        <w:spacing w:before="100" w:beforeAutospacing="1" w:after="100" w:afterAutospacing="1"/>
        <w:jc w:val="both"/>
        <w:rPr>
          <w:rFonts w:eastAsia="Times New Roman"/>
          <w:lang w:val="ro-RO"/>
        </w:rPr>
      </w:pPr>
      <w:r w:rsidRPr="00FD35BE">
        <w:rPr>
          <w:rFonts w:eastAsia="Times New Roman"/>
          <w:lang w:val="ro-RO"/>
        </w:rPr>
        <w:t>Întreprinde toate măsurile necesare pentru accelerarea proceselor de achiziții;</w:t>
      </w:r>
    </w:p>
    <w:p w14:paraId="601A7D09" w14:textId="631BAD3A" w:rsidR="00FD35BE" w:rsidRPr="00FD35BE" w:rsidRDefault="00FD35BE" w:rsidP="00FD35BE">
      <w:pPr>
        <w:pStyle w:val="ListParagraph"/>
        <w:numPr>
          <w:ilvl w:val="0"/>
          <w:numId w:val="20"/>
        </w:numPr>
        <w:spacing w:before="100" w:beforeAutospacing="1" w:after="100" w:afterAutospacing="1"/>
        <w:jc w:val="both"/>
        <w:rPr>
          <w:rFonts w:eastAsia="Times New Roman"/>
          <w:lang w:val="ro-RO"/>
        </w:rPr>
      </w:pPr>
      <w:r w:rsidRPr="00FD35BE">
        <w:rPr>
          <w:rFonts w:eastAsia="Times New Roman"/>
          <w:lang w:val="ro-RO"/>
        </w:rPr>
        <w:t>Contribuie la elaborarea specificațiilor tehnice și a Termenilor de Referință (TdR), oferind expertiză în domeniul achizițiilor;</w:t>
      </w:r>
    </w:p>
    <w:p w14:paraId="733B9C08" w14:textId="79F230C8" w:rsidR="00FD35BE" w:rsidRPr="00FD35BE" w:rsidRDefault="00FD35BE" w:rsidP="00FD35BE">
      <w:pPr>
        <w:pStyle w:val="ListParagraph"/>
        <w:numPr>
          <w:ilvl w:val="0"/>
          <w:numId w:val="20"/>
        </w:numPr>
        <w:spacing w:before="100" w:beforeAutospacing="1" w:after="100" w:afterAutospacing="1"/>
        <w:jc w:val="both"/>
        <w:rPr>
          <w:rFonts w:eastAsia="Times New Roman"/>
          <w:lang w:val="ro-RO"/>
        </w:rPr>
      </w:pPr>
      <w:r w:rsidRPr="00FD35BE">
        <w:rPr>
          <w:rFonts w:eastAsia="Times New Roman"/>
          <w:lang w:val="ro-RO"/>
        </w:rPr>
        <w:t>Oferă consultanță privind aspectele de achiziții pentru activitățile proiectului a căror implementare este legată de legislația națională în domeniul achizițiilor sau contabilității, atunci când este necesar;</w:t>
      </w:r>
    </w:p>
    <w:p w14:paraId="50DDCFF9" w14:textId="639A57BB" w:rsidR="00FD35BE" w:rsidRPr="00FD35BE" w:rsidRDefault="00FD35BE" w:rsidP="00FD35BE">
      <w:pPr>
        <w:pStyle w:val="ListParagraph"/>
        <w:numPr>
          <w:ilvl w:val="0"/>
          <w:numId w:val="20"/>
        </w:numPr>
        <w:spacing w:before="100" w:beforeAutospacing="1" w:after="100" w:afterAutospacing="1"/>
        <w:jc w:val="both"/>
        <w:rPr>
          <w:rFonts w:eastAsia="Times New Roman"/>
          <w:lang w:val="ro-RO"/>
        </w:rPr>
      </w:pPr>
      <w:r w:rsidRPr="00FD35BE">
        <w:rPr>
          <w:rFonts w:eastAsia="Times New Roman"/>
          <w:lang w:val="ro-RO"/>
        </w:rPr>
        <w:t>Elaborează documentația de licitație în conformitate cu Regulamentele Băncii Mondiale și modelele standard aplicabile;</w:t>
      </w:r>
    </w:p>
    <w:p w14:paraId="3F05BFDB" w14:textId="77777777" w:rsidR="00FD35BE" w:rsidRPr="00FD35BE" w:rsidRDefault="00FD35BE" w:rsidP="00FD35BE">
      <w:pPr>
        <w:pStyle w:val="ListParagraph"/>
        <w:numPr>
          <w:ilvl w:val="0"/>
          <w:numId w:val="20"/>
        </w:numPr>
        <w:spacing w:before="100" w:beforeAutospacing="1" w:after="100" w:afterAutospacing="1"/>
        <w:jc w:val="both"/>
        <w:rPr>
          <w:rFonts w:eastAsia="Times New Roman"/>
          <w:lang w:val="ro-RO"/>
        </w:rPr>
      </w:pPr>
      <w:r w:rsidRPr="00FD35BE">
        <w:rPr>
          <w:rFonts w:eastAsia="Times New Roman"/>
          <w:lang w:val="ro-RO"/>
        </w:rPr>
        <w:t>Pregătește și publică anunțurile și documentele prevăzute de procedurile de achiziții;</w:t>
      </w:r>
    </w:p>
    <w:p w14:paraId="2017B7D1" w14:textId="7E1C5F65" w:rsidR="00FD35BE" w:rsidRPr="00FD35BE" w:rsidRDefault="00FD35BE" w:rsidP="00FD35BE">
      <w:pPr>
        <w:pStyle w:val="ListParagraph"/>
        <w:numPr>
          <w:ilvl w:val="0"/>
          <w:numId w:val="20"/>
        </w:numPr>
        <w:spacing w:before="100" w:beforeAutospacing="1" w:after="100" w:afterAutospacing="1"/>
        <w:jc w:val="both"/>
        <w:rPr>
          <w:rFonts w:eastAsia="Times New Roman"/>
          <w:lang w:val="ro-RO"/>
        </w:rPr>
      </w:pPr>
      <w:r w:rsidRPr="00FD35BE">
        <w:rPr>
          <w:rFonts w:eastAsia="Times New Roman"/>
          <w:lang w:val="ro-RO"/>
        </w:rPr>
        <w:t>Răspunde la solicitările de clarificări, emite și modifică documentația de licitație atunci când este necesar;</w:t>
      </w:r>
    </w:p>
    <w:p w14:paraId="48F39814" w14:textId="76872ED6" w:rsidR="00FD35BE" w:rsidRPr="00FD35BE" w:rsidRDefault="00FD35BE" w:rsidP="00FD35BE">
      <w:pPr>
        <w:pStyle w:val="ListParagraph"/>
        <w:numPr>
          <w:ilvl w:val="0"/>
          <w:numId w:val="20"/>
        </w:numPr>
        <w:spacing w:before="100" w:beforeAutospacing="1" w:after="100" w:afterAutospacing="1"/>
        <w:jc w:val="both"/>
        <w:rPr>
          <w:rFonts w:eastAsia="Times New Roman"/>
          <w:lang w:val="ro-RO"/>
        </w:rPr>
      </w:pPr>
      <w:r w:rsidRPr="00FD35BE">
        <w:rPr>
          <w:rFonts w:eastAsia="Times New Roman"/>
          <w:lang w:val="ro-RO"/>
        </w:rPr>
        <w:t>Organizează și asigură documentarea corespunzătoare a ședințelor de clarificare prealabile depunerii ofertelor;</w:t>
      </w:r>
    </w:p>
    <w:p w14:paraId="441E1839" w14:textId="5763A0F0" w:rsidR="00FD35BE" w:rsidRPr="00FD35BE" w:rsidRDefault="00FD35BE" w:rsidP="00FD35BE">
      <w:pPr>
        <w:pStyle w:val="ListParagraph"/>
        <w:numPr>
          <w:ilvl w:val="0"/>
          <w:numId w:val="20"/>
        </w:numPr>
        <w:spacing w:before="100" w:beforeAutospacing="1" w:after="100" w:afterAutospacing="1"/>
        <w:jc w:val="both"/>
        <w:rPr>
          <w:rFonts w:eastAsia="Times New Roman"/>
          <w:lang w:val="ro-RO"/>
        </w:rPr>
      </w:pPr>
      <w:r w:rsidRPr="00FD35BE">
        <w:rPr>
          <w:rFonts w:eastAsia="Times New Roman"/>
          <w:lang w:val="ro-RO"/>
        </w:rPr>
        <w:t>Organizează și asigură documentarea corespunzătoare a ședințelor publice de deschidere a ofertelor, pregătește și transmite Băncii Mondiale procesele-verbale de deschidere;</w:t>
      </w:r>
    </w:p>
    <w:p w14:paraId="51941E32" w14:textId="45BB049F" w:rsidR="00FD35BE" w:rsidRPr="00FD35BE" w:rsidRDefault="00FD35BE" w:rsidP="00FD35BE">
      <w:pPr>
        <w:pStyle w:val="ListParagraph"/>
        <w:numPr>
          <w:ilvl w:val="0"/>
          <w:numId w:val="20"/>
        </w:numPr>
        <w:spacing w:before="100" w:beforeAutospacing="1" w:after="100" w:afterAutospacing="1"/>
        <w:jc w:val="both"/>
        <w:rPr>
          <w:rFonts w:eastAsia="Times New Roman"/>
          <w:lang w:val="ro-RO"/>
        </w:rPr>
      </w:pPr>
      <w:r w:rsidRPr="00FD35BE">
        <w:rPr>
          <w:rFonts w:eastAsia="Times New Roman"/>
          <w:lang w:val="ro-RO"/>
        </w:rPr>
        <w:t>Oferă consultanță membrilor Comisiei de Evaluare privind aspectele de achiziții;</w:t>
      </w:r>
    </w:p>
    <w:p w14:paraId="3A5735B0" w14:textId="341D6314" w:rsidR="00FD35BE" w:rsidRPr="00FD35BE" w:rsidRDefault="00FD35BE" w:rsidP="00FD35BE">
      <w:pPr>
        <w:pStyle w:val="ListParagraph"/>
        <w:numPr>
          <w:ilvl w:val="0"/>
          <w:numId w:val="20"/>
        </w:numPr>
        <w:spacing w:before="100" w:beforeAutospacing="1" w:after="100" w:afterAutospacing="1"/>
        <w:jc w:val="both"/>
        <w:rPr>
          <w:rFonts w:eastAsia="Times New Roman"/>
          <w:lang w:val="ro-RO"/>
        </w:rPr>
      </w:pPr>
      <w:r w:rsidRPr="00FD35BE">
        <w:rPr>
          <w:rFonts w:eastAsia="Times New Roman"/>
          <w:lang w:val="ro-RO"/>
        </w:rPr>
        <w:t>Elaborează rapoartele de evaluare în formatul solicitat de Banca Mondială;</w:t>
      </w:r>
    </w:p>
    <w:p w14:paraId="3EB36C64" w14:textId="43EA90B7" w:rsidR="00FD35BE" w:rsidRPr="00FD35BE" w:rsidRDefault="00FD35BE" w:rsidP="00FD35BE">
      <w:pPr>
        <w:pStyle w:val="ListParagraph"/>
        <w:numPr>
          <w:ilvl w:val="0"/>
          <w:numId w:val="20"/>
        </w:numPr>
        <w:spacing w:before="100" w:beforeAutospacing="1" w:after="100" w:afterAutospacing="1"/>
        <w:jc w:val="both"/>
        <w:rPr>
          <w:rFonts w:eastAsia="Times New Roman"/>
          <w:lang w:val="ro-RO"/>
        </w:rPr>
      </w:pPr>
      <w:r w:rsidRPr="00FD35BE">
        <w:rPr>
          <w:rFonts w:eastAsia="Times New Roman"/>
          <w:lang w:val="ro-RO"/>
        </w:rPr>
        <w:t>Organizează și participă la negocierile ofertelor și documentează acordurile convenite;</w:t>
      </w:r>
    </w:p>
    <w:p w14:paraId="04520ECD" w14:textId="60B98F0F" w:rsidR="00FD35BE" w:rsidRPr="00FD35BE" w:rsidRDefault="00FD35BE" w:rsidP="00FD35BE">
      <w:pPr>
        <w:pStyle w:val="ListParagraph"/>
        <w:numPr>
          <w:ilvl w:val="0"/>
          <w:numId w:val="20"/>
        </w:numPr>
        <w:spacing w:before="100" w:beforeAutospacing="1" w:after="100" w:afterAutospacing="1"/>
        <w:jc w:val="both"/>
        <w:rPr>
          <w:rFonts w:eastAsia="Times New Roman"/>
          <w:lang w:val="ro-RO"/>
        </w:rPr>
      </w:pPr>
      <w:r w:rsidRPr="00FD35BE">
        <w:rPr>
          <w:rFonts w:eastAsia="Times New Roman"/>
          <w:lang w:val="ro-RO"/>
        </w:rPr>
        <w:t>Pregătește documentația necesară pentru publicarea rezultatelor atribuirii contractelor și pentru informarea câștigătorilor ofertelor/propunerilor (persoane juridice sau consultanți individuali);</w:t>
      </w:r>
    </w:p>
    <w:p w14:paraId="5B0E731C" w14:textId="4E23E957" w:rsidR="00FD35BE" w:rsidRPr="00FD35BE" w:rsidRDefault="00FD35BE" w:rsidP="00FD35BE">
      <w:pPr>
        <w:pStyle w:val="ListParagraph"/>
        <w:numPr>
          <w:ilvl w:val="0"/>
          <w:numId w:val="20"/>
        </w:numPr>
        <w:spacing w:before="100" w:beforeAutospacing="1" w:after="100" w:afterAutospacing="1"/>
        <w:jc w:val="both"/>
        <w:rPr>
          <w:rFonts w:eastAsia="Times New Roman"/>
          <w:lang w:val="ro-RO"/>
        </w:rPr>
      </w:pPr>
      <w:r w:rsidRPr="00FD35BE">
        <w:rPr>
          <w:rFonts w:eastAsia="Times New Roman"/>
          <w:lang w:val="ro-RO"/>
        </w:rPr>
        <w:t>Elaborează proiectele de contracte în coordonare cu companiile sau consultanții individuali recomandați pentru atribuirea contractelor;</w:t>
      </w:r>
    </w:p>
    <w:p w14:paraId="5462F28E" w14:textId="7F37B18A" w:rsidR="00FD35BE" w:rsidRPr="00FD35BE" w:rsidRDefault="00FD35BE" w:rsidP="00FD35BE">
      <w:pPr>
        <w:pStyle w:val="ListParagraph"/>
        <w:numPr>
          <w:ilvl w:val="0"/>
          <w:numId w:val="20"/>
        </w:numPr>
        <w:spacing w:before="100" w:beforeAutospacing="1" w:after="100" w:afterAutospacing="1"/>
        <w:jc w:val="both"/>
        <w:rPr>
          <w:rFonts w:eastAsia="Times New Roman"/>
          <w:lang w:val="ro-RO"/>
        </w:rPr>
      </w:pPr>
      <w:r w:rsidRPr="00FD35BE">
        <w:rPr>
          <w:rFonts w:eastAsia="Times New Roman"/>
          <w:lang w:val="ro-RO"/>
        </w:rPr>
        <w:t>Pregătește versiunile finale ale contractelor convenite pentru semnarea de către părți, în conformitate cu documentația de licitație și Regulamentele aplicabile. Monitorizează recepționarea contractelor semnate și a garanțiilor contractuale;</w:t>
      </w:r>
    </w:p>
    <w:p w14:paraId="73001550" w14:textId="05BC0221" w:rsidR="00FD35BE" w:rsidRPr="00FD35BE" w:rsidRDefault="00FD35BE" w:rsidP="00FD35BE">
      <w:pPr>
        <w:pStyle w:val="ListParagraph"/>
        <w:numPr>
          <w:ilvl w:val="0"/>
          <w:numId w:val="20"/>
        </w:numPr>
        <w:spacing w:before="100" w:beforeAutospacing="1" w:after="100" w:afterAutospacing="1"/>
        <w:jc w:val="both"/>
        <w:rPr>
          <w:rFonts w:eastAsia="Times New Roman"/>
          <w:lang w:val="ro-RO"/>
        </w:rPr>
      </w:pPr>
      <w:r w:rsidRPr="00FD35BE">
        <w:rPr>
          <w:rFonts w:eastAsia="Times New Roman"/>
          <w:lang w:val="ro-RO"/>
        </w:rPr>
        <w:t>Menține și arhivează dosarele aferente achizițiilor proiectului, inclusiv arhiva electronică, și încarcă în sistemul STEP toată documentația relevantă privind achizițiile;</w:t>
      </w:r>
    </w:p>
    <w:p w14:paraId="653E9532" w14:textId="599EDB1A" w:rsidR="00FD35BE" w:rsidRPr="00FD35BE" w:rsidRDefault="00FD35BE" w:rsidP="00FD35BE">
      <w:pPr>
        <w:pStyle w:val="ListParagraph"/>
        <w:numPr>
          <w:ilvl w:val="0"/>
          <w:numId w:val="20"/>
        </w:numPr>
        <w:spacing w:before="100" w:beforeAutospacing="1" w:after="100" w:afterAutospacing="1"/>
        <w:jc w:val="both"/>
        <w:rPr>
          <w:rFonts w:eastAsia="Times New Roman"/>
          <w:lang w:val="ro-RO"/>
        </w:rPr>
      </w:pPr>
      <w:r w:rsidRPr="00FD35BE">
        <w:rPr>
          <w:rFonts w:eastAsia="Times New Roman"/>
          <w:lang w:val="ro-RO"/>
        </w:rPr>
        <w:t>Contribuie la coordonarea și monitorizarea implementării contractelor;</w:t>
      </w:r>
    </w:p>
    <w:p w14:paraId="2CEE982D" w14:textId="788565F4" w:rsidR="00FD35BE" w:rsidRPr="00FD35BE" w:rsidRDefault="00FD35BE" w:rsidP="00FD35BE">
      <w:pPr>
        <w:pStyle w:val="ListParagraph"/>
        <w:numPr>
          <w:ilvl w:val="0"/>
          <w:numId w:val="20"/>
        </w:numPr>
        <w:spacing w:before="100" w:beforeAutospacing="1" w:after="100" w:afterAutospacing="1"/>
        <w:jc w:val="both"/>
        <w:rPr>
          <w:rFonts w:eastAsia="Times New Roman"/>
          <w:lang w:val="ro-RO"/>
        </w:rPr>
      </w:pPr>
      <w:r w:rsidRPr="00FD35BE">
        <w:rPr>
          <w:rFonts w:eastAsia="Times New Roman"/>
          <w:lang w:val="ro-RO"/>
        </w:rPr>
        <w:t>Pregătește rapoartele de achiziții care urmează a fi prezentate Băncii Mondiale;</w:t>
      </w:r>
    </w:p>
    <w:p w14:paraId="5850B73C" w14:textId="4DF2F7C4" w:rsidR="00FD35BE" w:rsidRPr="00FD35BE" w:rsidRDefault="00FD35BE" w:rsidP="00FD35BE">
      <w:pPr>
        <w:pStyle w:val="ListParagraph"/>
        <w:numPr>
          <w:ilvl w:val="0"/>
          <w:numId w:val="20"/>
        </w:numPr>
        <w:spacing w:before="100" w:beforeAutospacing="1" w:after="100" w:afterAutospacing="1"/>
        <w:jc w:val="both"/>
        <w:rPr>
          <w:rFonts w:eastAsia="Times New Roman"/>
          <w:lang w:val="ro-RO"/>
        </w:rPr>
      </w:pPr>
      <w:r w:rsidRPr="00FD35BE">
        <w:rPr>
          <w:rFonts w:eastAsia="Times New Roman"/>
          <w:lang w:val="ro-RO"/>
        </w:rPr>
        <w:t>Furnizează contribuții pentru rapoartele de progres ale proiectului, elaborate semestrial;</w:t>
      </w:r>
    </w:p>
    <w:p w14:paraId="2B925E2D" w14:textId="1B47B82E" w:rsidR="00FD35BE" w:rsidRPr="00FD35BE" w:rsidRDefault="00FD35BE" w:rsidP="00FD35BE">
      <w:pPr>
        <w:pStyle w:val="ListParagraph"/>
        <w:numPr>
          <w:ilvl w:val="0"/>
          <w:numId w:val="20"/>
        </w:numPr>
        <w:spacing w:before="100" w:beforeAutospacing="1" w:after="100" w:afterAutospacing="1"/>
        <w:jc w:val="both"/>
        <w:rPr>
          <w:rFonts w:eastAsia="Times New Roman"/>
          <w:lang w:val="ro-RO"/>
        </w:rPr>
      </w:pPr>
      <w:r w:rsidRPr="00FD35BE">
        <w:rPr>
          <w:rFonts w:eastAsia="Times New Roman"/>
          <w:lang w:val="ro-RO"/>
        </w:rPr>
        <w:t>Contribuie permanent la elaborarea prognozelor privind debursarea bugetului proiectului SAVV;</w:t>
      </w:r>
    </w:p>
    <w:p w14:paraId="2933B4F9" w14:textId="006DED2A" w:rsidR="00FD35BE" w:rsidRPr="00FD35BE" w:rsidRDefault="00FD35BE" w:rsidP="00FD35BE">
      <w:pPr>
        <w:pStyle w:val="ListParagraph"/>
        <w:numPr>
          <w:ilvl w:val="0"/>
          <w:numId w:val="20"/>
        </w:numPr>
        <w:spacing w:before="100" w:beforeAutospacing="1" w:after="100" w:afterAutospacing="1"/>
        <w:jc w:val="both"/>
        <w:rPr>
          <w:rFonts w:eastAsia="Times New Roman"/>
          <w:lang w:val="ro-RO"/>
        </w:rPr>
      </w:pPr>
      <w:r w:rsidRPr="00FD35BE">
        <w:rPr>
          <w:rFonts w:eastAsia="Times New Roman"/>
          <w:lang w:val="ro-RO"/>
        </w:rPr>
        <w:t>Elaborează și actualizează permanent lista angajamentelor bugetare ale proiectului SAVV;</w:t>
      </w:r>
    </w:p>
    <w:p w14:paraId="3FB27904" w14:textId="145055DE" w:rsidR="00FD35BE" w:rsidRPr="00FD35BE" w:rsidRDefault="00FD35BE" w:rsidP="00FD35BE">
      <w:pPr>
        <w:pStyle w:val="ListParagraph"/>
        <w:numPr>
          <w:ilvl w:val="0"/>
          <w:numId w:val="20"/>
        </w:numPr>
        <w:spacing w:before="100" w:beforeAutospacing="1" w:after="100" w:afterAutospacing="1"/>
        <w:jc w:val="both"/>
        <w:rPr>
          <w:rFonts w:eastAsia="Times New Roman"/>
          <w:lang w:val="ro-RO"/>
        </w:rPr>
      </w:pPr>
      <w:r w:rsidRPr="00FD35BE">
        <w:rPr>
          <w:rFonts w:eastAsia="Times New Roman"/>
          <w:lang w:val="ro-RO"/>
        </w:rPr>
        <w:t>Menține legătura cu specialiștii în achiziții ai Băncii Mondiale și obține toate aprobările necesare înainte de emiterea documentației de licitație/cererilor de propuneri (RFP) sau înainte de atribuirea contractelor, după caz;</w:t>
      </w:r>
    </w:p>
    <w:p w14:paraId="3CD97003" w14:textId="7E7D5349" w:rsidR="00FD35BE" w:rsidRPr="00FD35BE" w:rsidRDefault="00FD35BE" w:rsidP="00FD35BE">
      <w:pPr>
        <w:pStyle w:val="ListParagraph"/>
        <w:numPr>
          <w:ilvl w:val="0"/>
          <w:numId w:val="20"/>
        </w:numPr>
        <w:spacing w:before="100" w:beforeAutospacing="1" w:after="100" w:afterAutospacing="1"/>
        <w:jc w:val="both"/>
        <w:rPr>
          <w:rFonts w:eastAsia="Times New Roman"/>
          <w:lang w:val="ro-RO"/>
        </w:rPr>
      </w:pPr>
      <w:r w:rsidRPr="00FD35BE">
        <w:rPr>
          <w:rFonts w:eastAsia="Times New Roman"/>
          <w:lang w:val="ro-RO"/>
        </w:rPr>
        <w:t>Contribuie la revizuirea Manualului Operațional al Proiectului, atunci când este necesar;</w:t>
      </w:r>
    </w:p>
    <w:p w14:paraId="7CAAE998" w14:textId="40EEEAFF" w:rsidR="00FD35BE" w:rsidRPr="00FD35BE" w:rsidRDefault="00FD35BE" w:rsidP="00FD35BE">
      <w:pPr>
        <w:pStyle w:val="ListParagraph"/>
        <w:numPr>
          <w:ilvl w:val="0"/>
          <w:numId w:val="20"/>
        </w:numPr>
        <w:spacing w:before="100" w:beforeAutospacing="1" w:after="100" w:afterAutospacing="1"/>
        <w:jc w:val="both"/>
        <w:rPr>
          <w:rFonts w:eastAsia="Times New Roman"/>
          <w:lang w:val="ro-RO"/>
        </w:rPr>
      </w:pPr>
      <w:r w:rsidRPr="00FD35BE">
        <w:rPr>
          <w:rFonts w:eastAsia="Times New Roman"/>
          <w:lang w:val="ro-RO"/>
        </w:rPr>
        <w:t>Participă la auditul anual al proiectului, inclusiv la auditurile externe efectuate de autoritățile naționale de control;</w:t>
      </w:r>
    </w:p>
    <w:p w14:paraId="43D06980" w14:textId="04585006" w:rsidR="00FD35BE" w:rsidRPr="00FD35BE" w:rsidRDefault="00FD35BE" w:rsidP="00FD35BE">
      <w:pPr>
        <w:pStyle w:val="ListParagraph"/>
        <w:numPr>
          <w:ilvl w:val="0"/>
          <w:numId w:val="20"/>
        </w:numPr>
        <w:spacing w:before="100" w:beforeAutospacing="1" w:after="100" w:afterAutospacing="1"/>
        <w:jc w:val="both"/>
        <w:rPr>
          <w:rFonts w:eastAsia="Times New Roman"/>
          <w:lang w:val="ro-RO"/>
        </w:rPr>
      </w:pPr>
      <w:r w:rsidRPr="00FD35BE">
        <w:rPr>
          <w:rFonts w:eastAsia="Times New Roman"/>
          <w:lang w:val="ro-RO"/>
        </w:rPr>
        <w:lastRenderedPageBreak/>
        <w:t>Participă la evaluările anuale ale proceselor de achiziții (Procurement Review) efectuate de Banca Mondială;</w:t>
      </w:r>
    </w:p>
    <w:p w14:paraId="2D6C21F4" w14:textId="4013C520" w:rsidR="00FD35BE" w:rsidRPr="00FD35BE" w:rsidRDefault="00FD35BE" w:rsidP="00FD35BE">
      <w:pPr>
        <w:pStyle w:val="ListParagraph"/>
        <w:numPr>
          <w:ilvl w:val="0"/>
          <w:numId w:val="20"/>
        </w:numPr>
        <w:spacing w:before="100" w:beforeAutospacing="1" w:after="100" w:afterAutospacing="1"/>
        <w:jc w:val="both"/>
        <w:rPr>
          <w:rFonts w:eastAsia="Times New Roman"/>
          <w:lang w:val="ro-RO"/>
        </w:rPr>
      </w:pPr>
      <w:r w:rsidRPr="00FD35BE">
        <w:rPr>
          <w:rFonts w:eastAsia="Times New Roman"/>
          <w:lang w:val="ro-RO"/>
        </w:rPr>
        <w:t>Coordonează activitățile de verificare prealabilă (due diligence) și acțiunile de urmărire aferente eventualelor contestații sau reclamații privind procesele de achiziții;</w:t>
      </w:r>
    </w:p>
    <w:p w14:paraId="285F47F0" w14:textId="72F659A6" w:rsidR="00FD35BE" w:rsidRPr="00FD35BE" w:rsidRDefault="00FD35BE" w:rsidP="00FD35BE">
      <w:pPr>
        <w:pStyle w:val="ListParagraph"/>
        <w:numPr>
          <w:ilvl w:val="0"/>
          <w:numId w:val="20"/>
        </w:numPr>
        <w:spacing w:before="100" w:beforeAutospacing="1" w:after="100" w:afterAutospacing="1"/>
        <w:jc w:val="both"/>
        <w:rPr>
          <w:rFonts w:eastAsia="Times New Roman"/>
          <w:lang w:val="ro-RO"/>
        </w:rPr>
      </w:pPr>
      <w:r w:rsidRPr="00FD35BE">
        <w:rPr>
          <w:rFonts w:eastAsia="Times New Roman"/>
          <w:lang w:val="ro-RO"/>
        </w:rPr>
        <w:t>Îndeplinește și alte atribuții care contribuie la implementarea corespunzătoare a activităților legate de achiziții.</w:t>
      </w:r>
    </w:p>
    <w:p w14:paraId="1BEA263F" w14:textId="7A58F723" w:rsidR="00671642" w:rsidRPr="00FD35BE" w:rsidRDefault="00671642" w:rsidP="00671642">
      <w:pPr>
        <w:pStyle w:val="ListParagraph"/>
        <w:spacing w:before="100" w:beforeAutospacing="1" w:after="100" w:afterAutospacing="1"/>
        <w:ind w:left="360"/>
        <w:rPr>
          <w:rFonts w:eastAsia="Times New Roman"/>
          <w:lang w:val="ro-RO"/>
        </w:rPr>
      </w:pPr>
    </w:p>
    <w:p w14:paraId="420DFE1D" w14:textId="71851384" w:rsidR="00671642" w:rsidRPr="00FD35BE" w:rsidRDefault="00FD35BE" w:rsidP="00FD35BE">
      <w:pPr>
        <w:pStyle w:val="ListParagraph"/>
        <w:numPr>
          <w:ilvl w:val="0"/>
          <w:numId w:val="14"/>
        </w:numPr>
        <w:tabs>
          <w:tab w:val="left" w:pos="450"/>
        </w:tabs>
        <w:spacing w:before="240" w:after="240"/>
        <w:jc w:val="both"/>
        <w:rPr>
          <w:b/>
          <w:lang w:val="ro-RO"/>
        </w:rPr>
      </w:pPr>
      <w:r w:rsidRPr="00FD35BE">
        <w:rPr>
          <w:b/>
          <w:lang w:val="ro-RO"/>
        </w:rPr>
        <w:t>Calificări și competențe</w:t>
      </w:r>
    </w:p>
    <w:p w14:paraId="0E90365D" w14:textId="77777777" w:rsidR="00FD35BE" w:rsidRPr="00FD35BE" w:rsidRDefault="00FD35BE" w:rsidP="00FD35BE">
      <w:pPr>
        <w:spacing w:before="100" w:beforeAutospacing="1" w:after="100" w:afterAutospacing="1"/>
        <w:jc w:val="both"/>
        <w:rPr>
          <w:rFonts w:eastAsia="Times New Roman"/>
          <w:lang w:val="ro-RO"/>
        </w:rPr>
      </w:pPr>
      <w:bookmarkStart w:id="3" w:name="_Hlk231809445"/>
      <w:r w:rsidRPr="00FD35BE">
        <w:rPr>
          <w:rFonts w:eastAsia="Times New Roman"/>
          <w:b/>
          <w:bCs/>
          <w:lang w:val="ro-RO"/>
        </w:rPr>
        <w:t>Cerințe obligatorii:</w:t>
      </w:r>
    </w:p>
    <w:p w14:paraId="4D825065" w14:textId="77777777" w:rsidR="00FD35BE" w:rsidRPr="00FD35BE" w:rsidRDefault="00FD35BE" w:rsidP="00FD35BE">
      <w:pPr>
        <w:numPr>
          <w:ilvl w:val="0"/>
          <w:numId w:val="24"/>
        </w:numPr>
        <w:spacing w:before="100" w:beforeAutospacing="1" w:after="100" w:afterAutospacing="1"/>
        <w:jc w:val="both"/>
        <w:rPr>
          <w:rFonts w:eastAsia="Times New Roman"/>
          <w:lang w:val="ro-RO"/>
        </w:rPr>
      </w:pPr>
      <w:r w:rsidRPr="00FD35BE">
        <w:rPr>
          <w:rFonts w:eastAsia="Times New Roman"/>
          <w:lang w:val="ro-RO"/>
        </w:rPr>
        <w:t>Studii superioare în finanțe, economie, drept sau într-un domeniu relevant;</w:t>
      </w:r>
    </w:p>
    <w:p w14:paraId="1B531EE4" w14:textId="77777777" w:rsidR="00FD35BE" w:rsidRPr="00FD35BE" w:rsidRDefault="00FD35BE" w:rsidP="00FD35BE">
      <w:pPr>
        <w:numPr>
          <w:ilvl w:val="0"/>
          <w:numId w:val="24"/>
        </w:numPr>
        <w:spacing w:before="100" w:beforeAutospacing="1" w:after="100" w:afterAutospacing="1"/>
        <w:jc w:val="both"/>
        <w:rPr>
          <w:rFonts w:eastAsia="Times New Roman"/>
          <w:lang w:val="ro-RO"/>
        </w:rPr>
      </w:pPr>
      <w:r w:rsidRPr="00FD35BE">
        <w:rPr>
          <w:rFonts w:eastAsia="Times New Roman"/>
          <w:lang w:val="ro-RO"/>
        </w:rPr>
        <w:t>Cel puțin 3 ani de experiență relevantă în implementarea proiectelor finanțate de donatori;</w:t>
      </w:r>
    </w:p>
    <w:p w14:paraId="5ED4CF64" w14:textId="77777777" w:rsidR="00FD35BE" w:rsidRPr="00FD35BE" w:rsidRDefault="00FD35BE" w:rsidP="00FD35BE">
      <w:pPr>
        <w:numPr>
          <w:ilvl w:val="0"/>
          <w:numId w:val="24"/>
        </w:numPr>
        <w:spacing w:before="100" w:beforeAutospacing="1" w:after="100" w:afterAutospacing="1"/>
        <w:jc w:val="both"/>
        <w:rPr>
          <w:rFonts w:eastAsia="Times New Roman"/>
          <w:lang w:val="ro-RO"/>
        </w:rPr>
      </w:pPr>
      <w:r w:rsidRPr="00FD35BE">
        <w:rPr>
          <w:rFonts w:eastAsia="Times New Roman"/>
          <w:lang w:val="ro-RO"/>
        </w:rPr>
        <w:t>Cel puțin 3 ani de experiență în domeniul achizițiilor sau al administrării proiectelor;</w:t>
      </w:r>
    </w:p>
    <w:p w14:paraId="252522DF" w14:textId="77777777" w:rsidR="00FD35BE" w:rsidRPr="00FD35BE" w:rsidRDefault="00FD35BE" w:rsidP="00FD35BE">
      <w:pPr>
        <w:numPr>
          <w:ilvl w:val="0"/>
          <w:numId w:val="24"/>
        </w:numPr>
        <w:spacing w:before="100" w:beforeAutospacing="1" w:after="100" w:afterAutospacing="1"/>
        <w:jc w:val="both"/>
        <w:rPr>
          <w:rFonts w:eastAsia="Times New Roman"/>
          <w:lang w:val="ro-RO"/>
        </w:rPr>
      </w:pPr>
      <w:r w:rsidRPr="00FD35BE">
        <w:rPr>
          <w:rFonts w:eastAsia="Times New Roman"/>
          <w:lang w:val="ro-RO"/>
        </w:rPr>
        <w:t>Experiență de lucru cu bugete de proiecte internaționale de amploare;</w:t>
      </w:r>
    </w:p>
    <w:p w14:paraId="1CB77BF0" w14:textId="77777777" w:rsidR="00FD35BE" w:rsidRPr="00FD35BE" w:rsidRDefault="00FD35BE" w:rsidP="00FD35BE">
      <w:pPr>
        <w:numPr>
          <w:ilvl w:val="0"/>
          <w:numId w:val="24"/>
        </w:numPr>
        <w:spacing w:before="100" w:beforeAutospacing="1" w:after="100" w:afterAutospacing="1"/>
        <w:jc w:val="both"/>
        <w:rPr>
          <w:rFonts w:eastAsia="Times New Roman"/>
          <w:lang w:val="ro-RO"/>
        </w:rPr>
      </w:pPr>
      <w:r w:rsidRPr="00FD35BE">
        <w:rPr>
          <w:rFonts w:eastAsia="Times New Roman"/>
          <w:lang w:val="ro-RO"/>
        </w:rPr>
        <w:t>Cunoștințe avansate de utilizare a pachetului MS Office (Word, Excel, PowerPoint) și a sistemelor de gestionare a documentelor;</w:t>
      </w:r>
    </w:p>
    <w:p w14:paraId="461A5F22" w14:textId="77777777" w:rsidR="00FD35BE" w:rsidRPr="00FD35BE" w:rsidRDefault="00FD35BE" w:rsidP="00FD35BE">
      <w:pPr>
        <w:numPr>
          <w:ilvl w:val="0"/>
          <w:numId w:val="24"/>
        </w:numPr>
        <w:spacing w:before="100" w:beforeAutospacing="1" w:after="100" w:afterAutospacing="1"/>
        <w:jc w:val="both"/>
        <w:rPr>
          <w:rFonts w:eastAsia="Times New Roman"/>
          <w:lang w:val="ro-RO"/>
        </w:rPr>
      </w:pPr>
      <w:r w:rsidRPr="00FD35BE">
        <w:rPr>
          <w:rFonts w:eastAsia="Times New Roman"/>
          <w:lang w:val="ro-RO"/>
        </w:rPr>
        <w:t>Cunoașterea fluentă a limbilor română, rusă și engleză.</w:t>
      </w:r>
    </w:p>
    <w:p w14:paraId="7CC076FC" w14:textId="77777777" w:rsidR="00FD35BE" w:rsidRPr="00FD35BE" w:rsidRDefault="00FD35BE" w:rsidP="00FD35BE">
      <w:pPr>
        <w:spacing w:before="100" w:beforeAutospacing="1" w:after="100" w:afterAutospacing="1"/>
        <w:jc w:val="both"/>
        <w:rPr>
          <w:rFonts w:eastAsia="Times New Roman"/>
          <w:lang w:val="ro-RO"/>
        </w:rPr>
      </w:pPr>
      <w:r w:rsidRPr="00FD35BE">
        <w:rPr>
          <w:rFonts w:eastAsia="Times New Roman"/>
          <w:b/>
          <w:bCs/>
          <w:lang w:val="ro-RO"/>
        </w:rPr>
        <w:t>Următoarele calificări vor constitui un avantaj:</w:t>
      </w:r>
    </w:p>
    <w:p w14:paraId="7EA1A75E" w14:textId="77777777" w:rsidR="00FD35BE" w:rsidRPr="00FD35BE" w:rsidRDefault="00FD35BE" w:rsidP="00FD35BE">
      <w:pPr>
        <w:numPr>
          <w:ilvl w:val="0"/>
          <w:numId w:val="25"/>
        </w:numPr>
        <w:spacing w:before="100" w:beforeAutospacing="1" w:after="100" w:afterAutospacing="1"/>
        <w:jc w:val="both"/>
        <w:rPr>
          <w:rFonts w:eastAsia="Times New Roman"/>
          <w:lang w:val="ro-RO"/>
        </w:rPr>
      </w:pPr>
      <w:r w:rsidRPr="00FD35BE">
        <w:rPr>
          <w:rFonts w:eastAsia="Times New Roman"/>
          <w:lang w:val="ro-RO"/>
        </w:rPr>
        <w:t>Cunoștințe solide ale legislației naționale în domeniul achizițiilor publice;</w:t>
      </w:r>
    </w:p>
    <w:p w14:paraId="1A9EAAE0" w14:textId="77777777" w:rsidR="00FD35BE" w:rsidRPr="00FD35BE" w:rsidRDefault="00FD35BE" w:rsidP="00FD35BE">
      <w:pPr>
        <w:numPr>
          <w:ilvl w:val="0"/>
          <w:numId w:val="25"/>
        </w:numPr>
        <w:spacing w:before="100" w:beforeAutospacing="1" w:after="100" w:afterAutospacing="1"/>
        <w:jc w:val="both"/>
        <w:rPr>
          <w:rFonts w:eastAsia="Times New Roman"/>
          <w:lang w:val="ro-RO"/>
        </w:rPr>
      </w:pPr>
      <w:r w:rsidRPr="00FD35BE">
        <w:rPr>
          <w:rFonts w:eastAsia="Times New Roman"/>
          <w:lang w:val="ro-RO"/>
        </w:rPr>
        <w:t>Familiaritate cu principiile și procedurile de achiziții ale Băncii Mondiale;</w:t>
      </w:r>
    </w:p>
    <w:p w14:paraId="540E123D" w14:textId="77777777" w:rsidR="00FD35BE" w:rsidRPr="00FD35BE" w:rsidRDefault="00FD35BE" w:rsidP="00FD35BE">
      <w:pPr>
        <w:numPr>
          <w:ilvl w:val="0"/>
          <w:numId w:val="25"/>
        </w:numPr>
        <w:spacing w:before="100" w:beforeAutospacing="1" w:after="100" w:afterAutospacing="1"/>
        <w:jc w:val="both"/>
        <w:rPr>
          <w:rFonts w:eastAsia="Times New Roman"/>
          <w:lang w:val="ro-RO"/>
        </w:rPr>
      </w:pPr>
      <w:r w:rsidRPr="00FD35BE">
        <w:rPr>
          <w:rFonts w:eastAsia="Times New Roman"/>
          <w:lang w:val="ro-RO"/>
        </w:rPr>
        <w:t>Experiența de lucru în proiecte din domeniul violenței bazate pe gen (VBG), egalității de gen sau serviciilor sociale constituie un avantaj.</w:t>
      </w:r>
    </w:p>
    <w:bookmarkEnd w:id="3"/>
    <w:p w14:paraId="4D0B48F4" w14:textId="77777777" w:rsidR="00FD35BE" w:rsidRPr="00FD35BE" w:rsidRDefault="00FD35BE" w:rsidP="00FD35BE">
      <w:pPr>
        <w:pStyle w:val="ListParagraph"/>
        <w:numPr>
          <w:ilvl w:val="0"/>
          <w:numId w:val="14"/>
        </w:numPr>
        <w:jc w:val="both"/>
        <w:rPr>
          <w:b/>
          <w:lang w:val="ro-RO"/>
        </w:rPr>
      </w:pPr>
      <w:r w:rsidRPr="00FD35BE">
        <w:rPr>
          <w:b/>
          <w:lang w:val="ro-RO"/>
        </w:rPr>
        <w:t>Durata și locul desfășurării activității</w:t>
      </w:r>
    </w:p>
    <w:p w14:paraId="3A3624A0" w14:textId="2FD566A9" w:rsidR="00FD35BE" w:rsidRPr="00FD35BE" w:rsidRDefault="00FD35BE" w:rsidP="00FD35BE">
      <w:pPr>
        <w:spacing w:before="100" w:beforeAutospacing="1" w:after="100" w:afterAutospacing="1"/>
        <w:jc w:val="both"/>
        <w:rPr>
          <w:rFonts w:eastAsia="Times New Roman"/>
          <w:lang w:val="ro-RO"/>
        </w:rPr>
      </w:pPr>
      <w:bookmarkStart w:id="4" w:name="_Hlk231809462"/>
      <w:r w:rsidRPr="00FD35BE">
        <w:rPr>
          <w:rFonts w:eastAsia="Times New Roman"/>
          <w:lang w:val="ro-RO"/>
        </w:rPr>
        <w:t xml:space="preserve">Asistentul/Asistenta în Procurări va activa în municipiul Chișinău, în cadrul Asociației „Gender-Centru”, în calitate de consultant individual </w:t>
      </w:r>
      <w:r w:rsidRPr="00FD35BE">
        <w:rPr>
          <w:rFonts w:eastAsia="Times New Roman"/>
          <w:b/>
          <w:bCs/>
          <w:u w:val="single"/>
          <w:lang w:val="ro-RO"/>
        </w:rPr>
        <w:t>cu program parțial de lucru</w:t>
      </w:r>
      <w:r w:rsidRPr="00FD35BE">
        <w:rPr>
          <w:rFonts w:eastAsia="Times New Roman"/>
          <w:lang w:val="ro-RO"/>
        </w:rPr>
        <w:t xml:space="preserve"> și va dedica aproximativ 50% din timpul său de lucru proiectului SAVV.</w:t>
      </w:r>
    </w:p>
    <w:p w14:paraId="4A27DD8C" w14:textId="77777777" w:rsidR="00FD35BE" w:rsidRPr="00FD35BE" w:rsidRDefault="00FD35BE" w:rsidP="00FD35BE">
      <w:pPr>
        <w:spacing w:before="100" w:beforeAutospacing="1" w:after="100" w:afterAutospacing="1"/>
        <w:jc w:val="both"/>
        <w:rPr>
          <w:rFonts w:eastAsia="Times New Roman"/>
          <w:lang w:val="ro-RO"/>
        </w:rPr>
      </w:pPr>
      <w:r w:rsidRPr="00FD35BE">
        <w:rPr>
          <w:rFonts w:eastAsia="Times New Roman"/>
          <w:lang w:val="ro-RO"/>
        </w:rPr>
        <w:t>Proiectul are o durată de implementare de 4 ani. Durata estimată a contractului pentru Asistentul/Asistenta în Procurări este de 35 de luni, cu începere preconizată în luna iulie 2026.</w:t>
      </w:r>
    </w:p>
    <w:p w14:paraId="766B3260" w14:textId="77777777" w:rsidR="00FD35BE" w:rsidRPr="00FD35BE" w:rsidRDefault="00FD35BE" w:rsidP="00FD35BE">
      <w:pPr>
        <w:spacing w:before="100" w:beforeAutospacing="1" w:after="100" w:afterAutospacing="1"/>
        <w:jc w:val="both"/>
        <w:rPr>
          <w:rFonts w:eastAsia="Times New Roman"/>
          <w:lang w:val="ro-RO"/>
        </w:rPr>
      </w:pPr>
      <w:r w:rsidRPr="00FD35BE">
        <w:rPr>
          <w:rFonts w:eastAsia="Times New Roman"/>
          <w:b/>
          <w:bCs/>
          <w:lang w:val="ro-RO"/>
        </w:rPr>
        <w:t>Contribuția beneficiarului:</w:t>
      </w:r>
      <w:r w:rsidRPr="00FD35BE">
        <w:rPr>
          <w:rFonts w:eastAsia="Times New Roman"/>
          <w:lang w:val="ro-RO"/>
        </w:rPr>
        <w:t xml:space="preserve"> Expertului/Expertei i se va pune la dispoziție un spațiu de lucru în cadrul oficiului Asociației „Gender-Centru”, un calculator cu acces la internet și alte resurse de birou necesare pentru desfășurarea activității.</w:t>
      </w:r>
    </w:p>
    <w:p w14:paraId="09788A02" w14:textId="77777777" w:rsidR="00FD35BE" w:rsidRPr="00FD35BE" w:rsidRDefault="00FD35BE" w:rsidP="00FD35BE">
      <w:pPr>
        <w:spacing w:before="100" w:beforeAutospacing="1" w:after="100" w:afterAutospacing="1"/>
        <w:jc w:val="both"/>
        <w:rPr>
          <w:rFonts w:eastAsia="Times New Roman"/>
          <w:lang w:val="ro-RO"/>
        </w:rPr>
      </w:pPr>
      <w:r w:rsidRPr="00FD35BE">
        <w:rPr>
          <w:rFonts w:eastAsia="Times New Roman"/>
          <w:lang w:val="ro-RO"/>
        </w:rPr>
        <w:t>Selecția consultantului se va desfășura în conformitate cu prevederile documentului Băncii Mondiale „Regulamentele privind Achizițiile pentru Beneficiarii Finanțărilor pentru Proiecte de Investiții (IPF): Achiziția de Bunuri, Lucrări, Servicii Non-Consultative și Servicii de Consultanță”, ediția septembrie 2023.</w:t>
      </w:r>
    </w:p>
    <w:bookmarkEnd w:id="4"/>
    <w:p w14:paraId="1850844B" w14:textId="4BBC5B0F" w:rsidR="00FD35BE" w:rsidRPr="00FD35BE" w:rsidRDefault="00FD35BE" w:rsidP="00FD35BE">
      <w:pPr>
        <w:spacing w:before="100" w:beforeAutospacing="1" w:after="100" w:afterAutospacing="1"/>
        <w:jc w:val="both"/>
        <w:rPr>
          <w:lang w:val="ro-RO"/>
        </w:rPr>
      </w:pPr>
      <w:r w:rsidRPr="00FD35BE">
        <w:rPr>
          <w:rFonts w:eastAsia="Times New Roman"/>
          <w:lang w:val="ro-RO"/>
        </w:rPr>
        <w:t xml:space="preserve">Atenția consultanților interesați este atrasă asupra Secțiunii III, paragrafele 3.14, 3.16 și 3.17 din documentul Băncii Mondiale „Regulamentele privind Achizițiile pentru Beneficiarii Finanțărilor </w:t>
      </w:r>
      <w:r w:rsidRPr="00FD35BE">
        <w:rPr>
          <w:rFonts w:eastAsia="Times New Roman"/>
          <w:lang w:val="ro-RO"/>
        </w:rPr>
        <w:lastRenderedPageBreak/>
        <w:t>pentru Proiecte de Investiții (IPF)”, ediția a cincea, septembrie 2023 („Regulamentele privind Achizițiile”), care stabilesc politica Băncii Mondiale privind conflictul de interese.</w:t>
      </w:r>
    </w:p>
    <w:p w14:paraId="37C5EFD5" w14:textId="4FF7F0E1" w:rsidR="00D16D17" w:rsidRPr="00FD35BE" w:rsidRDefault="00FD35BE" w:rsidP="00FD35BE">
      <w:pPr>
        <w:pStyle w:val="ListParagraph"/>
        <w:numPr>
          <w:ilvl w:val="0"/>
          <w:numId w:val="14"/>
        </w:numPr>
        <w:jc w:val="both"/>
        <w:rPr>
          <w:b/>
          <w:lang w:val="ro-RO"/>
        </w:rPr>
      </w:pPr>
      <w:r w:rsidRPr="00FD35BE">
        <w:rPr>
          <w:b/>
          <w:lang w:val="ro-RO"/>
        </w:rPr>
        <w:t>Relațiile de raportare</w:t>
      </w:r>
    </w:p>
    <w:p w14:paraId="2939BA3B" w14:textId="77777777" w:rsidR="00FD35BE" w:rsidRPr="00FD35BE" w:rsidRDefault="00FD35BE" w:rsidP="00FD35BE">
      <w:pPr>
        <w:spacing w:before="100" w:beforeAutospacing="1" w:after="100" w:afterAutospacing="1"/>
        <w:jc w:val="both"/>
        <w:rPr>
          <w:rFonts w:eastAsia="Times New Roman"/>
          <w:lang w:val="ro-RO"/>
        </w:rPr>
      </w:pPr>
      <w:r w:rsidRPr="00FD35BE">
        <w:rPr>
          <w:rFonts w:eastAsia="Times New Roman"/>
          <w:lang w:val="ro-RO"/>
        </w:rPr>
        <w:t>Asistentul/Asistenta în Procurări va raporta Directorului/Directoarei de Proiect, care deține responsabilitatea generală pentru toate activitățile de achiziții aferente implementării proiectului. Directorul/Directoarea de Proiect asigură faptul că procesele de achiziții sunt aliniate la calendarul de implementare al proiectului, rezultatele preconizate și specificațiile tehnice.</w:t>
      </w:r>
    </w:p>
    <w:p w14:paraId="26AA417A" w14:textId="77777777" w:rsidR="00FD35BE" w:rsidRPr="00FD35BE" w:rsidRDefault="00FD35BE" w:rsidP="00FD35BE">
      <w:pPr>
        <w:spacing w:before="100" w:beforeAutospacing="1" w:after="100" w:afterAutospacing="1"/>
        <w:jc w:val="both"/>
        <w:rPr>
          <w:rFonts w:eastAsia="Times New Roman"/>
          <w:lang w:val="ro-RO"/>
        </w:rPr>
      </w:pPr>
      <w:r w:rsidRPr="00FD35BE">
        <w:rPr>
          <w:rFonts w:eastAsia="Times New Roman"/>
          <w:lang w:val="ro-RO"/>
        </w:rPr>
        <w:t>Asistentul/Asistenta în Procurări va colabora îndeaproape cu Directorul/Directoarea Administrativ(ă), care supraveghează conformitatea, gestionarea bugetului și respectarea politicilor organizaționale privind achizițiile.</w:t>
      </w:r>
    </w:p>
    <w:p w14:paraId="5E564ACD" w14:textId="77777777" w:rsidR="00671642" w:rsidRDefault="00671642"/>
    <w:sectPr w:rsidR="006716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2540"/>
    <w:multiLevelType w:val="multilevel"/>
    <w:tmpl w:val="66B003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2B04EC"/>
    <w:multiLevelType w:val="hybridMultilevel"/>
    <w:tmpl w:val="0B5643B0"/>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E0B3C"/>
    <w:multiLevelType w:val="multilevel"/>
    <w:tmpl w:val="61B84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1C6FFC"/>
    <w:multiLevelType w:val="hybridMultilevel"/>
    <w:tmpl w:val="DCE866BC"/>
    <w:lvl w:ilvl="0" w:tplc="301872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83961"/>
    <w:multiLevelType w:val="hybridMultilevel"/>
    <w:tmpl w:val="86641146"/>
    <w:lvl w:ilvl="0" w:tplc="C9622DF2">
      <w:start w:val="1"/>
      <w:numFmt w:val="upperLetter"/>
      <w:lvlText w:val="%1."/>
      <w:lvlJc w:val="left"/>
      <w:pPr>
        <w:ind w:left="720" w:hanging="360"/>
      </w:pPr>
      <w:rPr>
        <w:rFonts w:eastAsiaTheme="minorHAnsi"/>
        <w:b/>
        <w:bCs w:val="0"/>
      </w:rPr>
    </w:lvl>
    <w:lvl w:ilvl="1" w:tplc="041F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F572528"/>
    <w:multiLevelType w:val="hybridMultilevel"/>
    <w:tmpl w:val="4C50E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83153"/>
    <w:multiLevelType w:val="multilevel"/>
    <w:tmpl w:val="EDB492A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08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7" w15:restartNumberingAfterBreak="0">
    <w:nsid w:val="12796BB5"/>
    <w:multiLevelType w:val="multilevel"/>
    <w:tmpl w:val="789A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EE4A84"/>
    <w:multiLevelType w:val="multilevel"/>
    <w:tmpl w:val="E39C7580"/>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08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9" w15:restartNumberingAfterBreak="0">
    <w:nsid w:val="1C966AC5"/>
    <w:multiLevelType w:val="multilevel"/>
    <w:tmpl w:val="92A67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F32674"/>
    <w:multiLevelType w:val="hybridMultilevel"/>
    <w:tmpl w:val="E69A4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AE0FDA"/>
    <w:multiLevelType w:val="multilevel"/>
    <w:tmpl w:val="905CB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0E4571"/>
    <w:multiLevelType w:val="multilevel"/>
    <w:tmpl w:val="7924CF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8EB3204"/>
    <w:multiLevelType w:val="hybridMultilevel"/>
    <w:tmpl w:val="86641146"/>
    <w:lvl w:ilvl="0" w:tplc="C9622DF2">
      <w:start w:val="1"/>
      <w:numFmt w:val="upperLetter"/>
      <w:lvlText w:val="%1."/>
      <w:lvlJc w:val="left"/>
      <w:pPr>
        <w:ind w:left="720" w:hanging="360"/>
      </w:pPr>
      <w:rPr>
        <w:rFonts w:eastAsiaTheme="minorHAnsi"/>
        <w:b/>
        <w:bCs w:val="0"/>
      </w:rPr>
    </w:lvl>
    <w:lvl w:ilvl="1" w:tplc="041F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9AF0AC8"/>
    <w:multiLevelType w:val="hybridMultilevel"/>
    <w:tmpl w:val="6290A188"/>
    <w:lvl w:ilvl="0" w:tplc="47922C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2550AD"/>
    <w:multiLevelType w:val="hybridMultilevel"/>
    <w:tmpl w:val="625E3912"/>
    <w:lvl w:ilvl="0" w:tplc="F16A2C40">
      <w:start w:val="1"/>
      <w:numFmt w:val="decimal"/>
      <w:lvlText w:val="%1."/>
      <w:lvlJc w:val="left"/>
      <w:pPr>
        <w:ind w:left="810" w:hanging="720"/>
      </w:pPr>
      <w:rPr>
        <w:rFonts w:hint="default"/>
      </w:rPr>
    </w:lvl>
    <w:lvl w:ilvl="1" w:tplc="11987B98" w:tentative="1">
      <w:start w:val="1"/>
      <w:numFmt w:val="lowerLetter"/>
      <w:lvlText w:val="%2."/>
      <w:lvlJc w:val="left"/>
      <w:pPr>
        <w:ind w:left="1440" w:hanging="360"/>
      </w:pPr>
    </w:lvl>
    <w:lvl w:ilvl="2" w:tplc="D320E8D2" w:tentative="1">
      <w:start w:val="1"/>
      <w:numFmt w:val="lowerRoman"/>
      <w:lvlText w:val="%3."/>
      <w:lvlJc w:val="right"/>
      <w:pPr>
        <w:ind w:left="2160" w:hanging="180"/>
      </w:pPr>
    </w:lvl>
    <w:lvl w:ilvl="3" w:tplc="885218F4" w:tentative="1">
      <w:start w:val="1"/>
      <w:numFmt w:val="decimal"/>
      <w:lvlText w:val="%4."/>
      <w:lvlJc w:val="left"/>
      <w:pPr>
        <w:ind w:left="2880" w:hanging="360"/>
      </w:pPr>
    </w:lvl>
    <w:lvl w:ilvl="4" w:tplc="89B44A14" w:tentative="1">
      <w:start w:val="1"/>
      <w:numFmt w:val="lowerLetter"/>
      <w:lvlText w:val="%5."/>
      <w:lvlJc w:val="left"/>
      <w:pPr>
        <w:ind w:left="3600" w:hanging="360"/>
      </w:pPr>
    </w:lvl>
    <w:lvl w:ilvl="5" w:tplc="5038E836" w:tentative="1">
      <w:start w:val="1"/>
      <w:numFmt w:val="lowerRoman"/>
      <w:lvlText w:val="%6."/>
      <w:lvlJc w:val="right"/>
      <w:pPr>
        <w:ind w:left="4320" w:hanging="180"/>
      </w:pPr>
    </w:lvl>
    <w:lvl w:ilvl="6" w:tplc="0B203A78" w:tentative="1">
      <w:start w:val="1"/>
      <w:numFmt w:val="decimal"/>
      <w:lvlText w:val="%7."/>
      <w:lvlJc w:val="left"/>
      <w:pPr>
        <w:ind w:left="5040" w:hanging="360"/>
      </w:pPr>
    </w:lvl>
    <w:lvl w:ilvl="7" w:tplc="9E5C9E70" w:tentative="1">
      <w:start w:val="1"/>
      <w:numFmt w:val="lowerLetter"/>
      <w:lvlText w:val="%8."/>
      <w:lvlJc w:val="left"/>
      <w:pPr>
        <w:ind w:left="5760" w:hanging="360"/>
      </w:pPr>
    </w:lvl>
    <w:lvl w:ilvl="8" w:tplc="A0C40C96" w:tentative="1">
      <w:start w:val="1"/>
      <w:numFmt w:val="lowerRoman"/>
      <w:lvlText w:val="%9."/>
      <w:lvlJc w:val="right"/>
      <w:pPr>
        <w:ind w:left="6480" w:hanging="180"/>
      </w:pPr>
    </w:lvl>
  </w:abstractNum>
  <w:abstractNum w:abstractNumId="16" w15:restartNumberingAfterBreak="0">
    <w:nsid w:val="4E9D3339"/>
    <w:multiLevelType w:val="multilevel"/>
    <w:tmpl w:val="EDB492A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08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17" w15:restartNumberingAfterBreak="0">
    <w:nsid w:val="5A2200E1"/>
    <w:multiLevelType w:val="hybridMultilevel"/>
    <w:tmpl w:val="982C64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0B404E"/>
    <w:multiLevelType w:val="multilevel"/>
    <w:tmpl w:val="7674B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E71877"/>
    <w:multiLevelType w:val="hybridMultilevel"/>
    <w:tmpl w:val="B6DE0F6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5B285D"/>
    <w:multiLevelType w:val="hybridMultilevel"/>
    <w:tmpl w:val="79E85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FF2491"/>
    <w:multiLevelType w:val="hybridMultilevel"/>
    <w:tmpl w:val="E954FBBA"/>
    <w:lvl w:ilvl="0" w:tplc="4B78C50A">
      <w:numFmt w:val="bullet"/>
      <w:lvlText w:val=""/>
      <w:lvlJc w:val="left"/>
      <w:pPr>
        <w:tabs>
          <w:tab w:val="num" w:pos="644"/>
        </w:tabs>
        <w:ind w:left="644" w:hanging="360"/>
      </w:pPr>
      <w:rPr>
        <w:rFonts w:ascii="Symbol" w:eastAsia="Calibri" w:hAnsi="Symbol"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98B1398"/>
    <w:multiLevelType w:val="multilevel"/>
    <w:tmpl w:val="C05E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1F72E2"/>
    <w:multiLevelType w:val="hybridMultilevel"/>
    <w:tmpl w:val="32567970"/>
    <w:lvl w:ilvl="0" w:tplc="301872F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6"/>
  </w:num>
  <w:num w:numId="4">
    <w:abstractNumId w:val="22"/>
  </w:num>
  <w:num w:numId="5">
    <w:abstractNumId w:val="2"/>
  </w:num>
  <w:num w:numId="6">
    <w:abstractNumId w:val="18"/>
  </w:num>
  <w:num w:numId="7">
    <w:abstractNumId w:val="1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3"/>
  </w:num>
  <w:num w:numId="11">
    <w:abstractNumId w:val="15"/>
  </w:num>
  <w:num w:numId="12">
    <w:abstractNumId w:val="7"/>
  </w:num>
  <w:num w:numId="13">
    <w:abstractNumId w:val="8"/>
  </w:num>
  <w:num w:numId="14">
    <w:abstractNumId w:val="1"/>
  </w:num>
  <w:num w:numId="15">
    <w:abstractNumId w:val="3"/>
  </w:num>
  <w:num w:numId="16">
    <w:abstractNumId w:val="20"/>
  </w:num>
  <w:num w:numId="17">
    <w:abstractNumId w:val="19"/>
  </w:num>
  <w:num w:numId="18">
    <w:abstractNumId w:val="12"/>
  </w:num>
  <w:num w:numId="19">
    <w:abstractNumId w:val="0"/>
  </w:num>
  <w:num w:numId="20">
    <w:abstractNumId w:val="21"/>
  </w:num>
  <w:num w:numId="21">
    <w:abstractNumId w:val="23"/>
  </w:num>
  <w:num w:numId="22">
    <w:abstractNumId w:val="14"/>
  </w:num>
  <w:num w:numId="23">
    <w:abstractNumId w:val="17"/>
  </w:num>
  <w:num w:numId="24">
    <w:abstractNumId w:val="11"/>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7FA"/>
    <w:rsid w:val="00025109"/>
    <w:rsid w:val="001A194A"/>
    <w:rsid w:val="001E3DB4"/>
    <w:rsid w:val="00294738"/>
    <w:rsid w:val="00295DC4"/>
    <w:rsid w:val="002F04AF"/>
    <w:rsid w:val="003744E6"/>
    <w:rsid w:val="00387D01"/>
    <w:rsid w:val="003B1A84"/>
    <w:rsid w:val="004B6D20"/>
    <w:rsid w:val="00507916"/>
    <w:rsid w:val="00536275"/>
    <w:rsid w:val="00657D0E"/>
    <w:rsid w:val="00671642"/>
    <w:rsid w:val="007C7E03"/>
    <w:rsid w:val="00991A53"/>
    <w:rsid w:val="009C115C"/>
    <w:rsid w:val="00A950B0"/>
    <w:rsid w:val="00AC47FA"/>
    <w:rsid w:val="00BF4368"/>
    <w:rsid w:val="00D03E8A"/>
    <w:rsid w:val="00D16D17"/>
    <w:rsid w:val="00D459BB"/>
    <w:rsid w:val="00D62C94"/>
    <w:rsid w:val="00DD1481"/>
    <w:rsid w:val="00E00ECA"/>
    <w:rsid w:val="00FD35BE"/>
    <w:rsid w:val="00FD7F4C"/>
    <w:rsid w:val="00FE0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50F1C"/>
  <w15:chartTrackingRefBased/>
  <w15:docId w15:val="{04A06D9D-9ECA-4CF1-A372-F1558014B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BA6"/>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0BA6"/>
    <w:pPr>
      <w:spacing w:before="100" w:beforeAutospacing="1" w:after="100" w:afterAutospacing="1"/>
    </w:pPr>
    <w:rPr>
      <w:rFonts w:eastAsia="Times New Roman"/>
    </w:rPr>
  </w:style>
  <w:style w:type="character" w:styleId="Emphasis">
    <w:name w:val="Emphasis"/>
    <w:basedOn w:val="DefaultParagraphFont"/>
    <w:uiPriority w:val="20"/>
    <w:qFormat/>
    <w:rsid w:val="00FE0BA6"/>
    <w:rPr>
      <w:i/>
      <w:iCs/>
    </w:rPr>
  </w:style>
  <w:style w:type="paragraph" w:styleId="NoSpacing">
    <w:name w:val="No Spacing"/>
    <w:uiPriority w:val="1"/>
    <w:qFormat/>
    <w:rsid w:val="00FE0BA6"/>
    <w:pPr>
      <w:spacing w:after="0" w:line="240" w:lineRule="auto"/>
    </w:pPr>
    <w:rPr>
      <w:rFonts w:ascii="Times New Roman" w:eastAsia="SimSun" w:hAnsi="Times New Roman" w:cs="Times New Roman"/>
      <w:sz w:val="24"/>
      <w:szCs w:val="24"/>
    </w:rPr>
  </w:style>
  <w:style w:type="character" w:styleId="Strong">
    <w:name w:val="Strong"/>
    <w:basedOn w:val="DefaultParagraphFont"/>
    <w:uiPriority w:val="22"/>
    <w:qFormat/>
    <w:rsid w:val="00FE0BA6"/>
    <w:rPr>
      <w:b/>
      <w:bCs/>
    </w:rPr>
  </w:style>
  <w:style w:type="paragraph" w:styleId="ListParagraph">
    <w:name w:val="List Paragraph"/>
    <w:aliases w:val="Akapit z listą BS,Bullet1,Bullets,IBL List Paragraph,List Paragraph (numbered (a)),List Paragraph 1,List Paragraph nowy,List Paragraph-ExecSummary,List Paragraph1,List_Paragraph,Multilevel para_II,Numbered List Paragraph,References,PAD,Ha"/>
    <w:basedOn w:val="Normal"/>
    <w:link w:val="ListParagraphChar"/>
    <w:uiPriority w:val="34"/>
    <w:qFormat/>
    <w:rsid w:val="00FE0BA6"/>
    <w:pPr>
      <w:ind w:left="720"/>
      <w:contextualSpacing/>
    </w:pPr>
  </w:style>
  <w:style w:type="table" w:styleId="TableGrid">
    <w:name w:val="Table Grid"/>
    <w:basedOn w:val="TableNormal"/>
    <w:uiPriority w:val="39"/>
    <w:rsid w:val="00507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kapit z listą BS Char,Bullet1 Char,Bullets Char,IBL List Paragraph Char,List Paragraph (numbered (a)) Char,List Paragraph 1 Char,List Paragraph nowy Char,List Paragraph-ExecSummary Char,List Paragraph1 Char,List_Paragraph Char"/>
    <w:link w:val="ListParagraph"/>
    <w:uiPriority w:val="34"/>
    <w:qFormat/>
    <w:locked/>
    <w:rsid w:val="00A950B0"/>
    <w:rPr>
      <w:rFonts w:ascii="Times New Roman" w:eastAsia="SimSun" w:hAnsi="Times New Roman" w:cs="Times New Roman"/>
      <w:sz w:val="24"/>
      <w:szCs w:val="24"/>
    </w:rPr>
  </w:style>
  <w:style w:type="paragraph" w:styleId="BalloonText">
    <w:name w:val="Balloon Text"/>
    <w:basedOn w:val="Normal"/>
    <w:link w:val="BalloonTextChar"/>
    <w:uiPriority w:val="99"/>
    <w:semiHidden/>
    <w:unhideWhenUsed/>
    <w:rsid w:val="00387D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D01"/>
    <w:rPr>
      <w:rFonts w:ascii="Segoe UI" w:eastAsia="SimSun" w:hAnsi="Segoe UI" w:cs="Segoe UI"/>
      <w:sz w:val="18"/>
      <w:szCs w:val="18"/>
    </w:rPr>
  </w:style>
  <w:style w:type="character" w:styleId="Hyperlink">
    <w:name w:val="Hyperlink"/>
    <w:basedOn w:val="DefaultParagraphFont"/>
    <w:uiPriority w:val="99"/>
    <w:unhideWhenUsed/>
    <w:rsid w:val="00294738"/>
    <w:rPr>
      <w:color w:val="0563C1" w:themeColor="hyperlink"/>
      <w:u w:val="single"/>
    </w:rPr>
  </w:style>
  <w:style w:type="character" w:styleId="UnresolvedMention">
    <w:name w:val="Unresolved Mention"/>
    <w:basedOn w:val="DefaultParagraphFont"/>
    <w:uiPriority w:val="99"/>
    <w:semiHidden/>
    <w:unhideWhenUsed/>
    <w:rsid w:val="00294738"/>
    <w:rPr>
      <w:color w:val="605E5C"/>
      <w:shd w:val="clear" w:color="auto" w:fill="E1DFDD"/>
    </w:rPr>
  </w:style>
  <w:style w:type="paragraph" w:customStyle="1" w:styleId="isselectedend">
    <w:name w:val="isselectedend"/>
    <w:basedOn w:val="Normal"/>
    <w:rsid w:val="00FD35BE"/>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26378">
      <w:bodyDiv w:val="1"/>
      <w:marLeft w:val="0"/>
      <w:marRight w:val="0"/>
      <w:marTop w:val="0"/>
      <w:marBottom w:val="0"/>
      <w:divBdr>
        <w:top w:val="none" w:sz="0" w:space="0" w:color="auto"/>
        <w:left w:val="none" w:sz="0" w:space="0" w:color="auto"/>
        <w:bottom w:val="none" w:sz="0" w:space="0" w:color="auto"/>
        <w:right w:val="none" w:sz="0" w:space="0" w:color="auto"/>
      </w:divBdr>
    </w:div>
    <w:div w:id="150098017">
      <w:bodyDiv w:val="1"/>
      <w:marLeft w:val="0"/>
      <w:marRight w:val="0"/>
      <w:marTop w:val="0"/>
      <w:marBottom w:val="0"/>
      <w:divBdr>
        <w:top w:val="none" w:sz="0" w:space="0" w:color="auto"/>
        <w:left w:val="none" w:sz="0" w:space="0" w:color="auto"/>
        <w:bottom w:val="none" w:sz="0" w:space="0" w:color="auto"/>
        <w:right w:val="none" w:sz="0" w:space="0" w:color="auto"/>
      </w:divBdr>
    </w:div>
    <w:div w:id="250940613">
      <w:bodyDiv w:val="1"/>
      <w:marLeft w:val="0"/>
      <w:marRight w:val="0"/>
      <w:marTop w:val="0"/>
      <w:marBottom w:val="0"/>
      <w:divBdr>
        <w:top w:val="none" w:sz="0" w:space="0" w:color="auto"/>
        <w:left w:val="none" w:sz="0" w:space="0" w:color="auto"/>
        <w:bottom w:val="none" w:sz="0" w:space="0" w:color="auto"/>
        <w:right w:val="none" w:sz="0" w:space="0" w:color="auto"/>
      </w:divBdr>
    </w:div>
    <w:div w:id="259610305">
      <w:bodyDiv w:val="1"/>
      <w:marLeft w:val="0"/>
      <w:marRight w:val="0"/>
      <w:marTop w:val="0"/>
      <w:marBottom w:val="0"/>
      <w:divBdr>
        <w:top w:val="none" w:sz="0" w:space="0" w:color="auto"/>
        <w:left w:val="none" w:sz="0" w:space="0" w:color="auto"/>
        <w:bottom w:val="none" w:sz="0" w:space="0" w:color="auto"/>
        <w:right w:val="none" w:sz="0" w:space="0" w:color="auto"/>
      </w:divBdr>
    </w:div>
    <w:div w:id="263540940">
      <w:bodyDiv w:val="1"/>
      <w:marLeft w:val="0"/>
      <w:marRight w:val="0"/>
      <w:marTop w:val="0"/>
      <w:marBottom w:val="0"/>
      <w:divBdr>
        <w:top w:val="none" w:sz="0" w:space="0" w:color="auto"/>
        <w:left w:val="none" w:sz="0" w:space="0" w:color="auto"/>
        <w:bottom w:val="none" w:sz="0" w:space="0" w:color="auto"/>
        <w:right w:val="none" w:sz="0" w:space="0" w:color="auto"/>
      </w:divBdr>
    </w:div>
    <w:div w:id="324431252">
      <w:bodyDiv w:val="1"/>
      <w:marLeft w:val="0"/>
      <w:marRight w:val="0"/>
      <w:marTop w:val="0"/>
      <w:marBottom w:val="0"/>
      <w:divBdr>
        <w:top w:val="none" w:sz="0" w:space="0" w:color="auto"/>
        <w:left w:val="none" w:sz="0" w:space="0" w:color="auto"/>
        <w:bottom w:val="none" w:sz="0" w:space="0" w:color="auto"/>
        <w:right w:val="none" w:sz="0" w:space="0" w:color="auto"/>
      </w:divBdr>
    </w:div>
    <w:div w:id="425809461">
      <w:bodyDiv w:val="1"/>
      <w:marLeft w:val="0"/>
      <w:marRight w:val="0"/>
      <w:marTop w:val="0"/>
      <w:marBottom w:val="0"/>
      <w:divBdr>
        <w:top w:val="none" w:sz="0" w:space="0" w:color="auto"/>
        <w:left w:val="none" w:sz="0" w:space="0" w:color="auto"/>
        <w:bottom w:val="none" w:sz="0" w:space="0" w:color="auto"/>
        <w:right w:val="none" w:sz="0" w:space="0" w:color="auto"/>
      </w:divBdr>
    </w:div>
    <w:div w:id="458299147">
      <w:bodyDiv w:val="1"/>
      <w:marLeft w:val="0"/>
      <w:marRight w:val="0"/>
      <w:marTop w:val="0"/>
      <w:marBottom w:val="0"/>
      <w:divBdr>
        <w:top w:val="none" w:sz="0" w:space="0" w:color="auto"/>
        <w:left w:val="none" w:sz="0" w:space="0" w:color="auto"/>
        <w:bottom w:val="none" w:sz="0" w:space="0" w:color="auto"/>
        <w:right w:val="none" w:sz="0" w:space="0" w:color="auto"/>
      </w:divBdr>
    </w:div>
    <w:div w:id="521943800">
      <w:bodyDiv w:val="1"/>
      <w:marLeft w:val="0"/>
      <w:marRight w:val="0"/>
      <w:marTop w:val="0"/>
      <w:marBottom w:val="0"/>
      <w:divBdr>
        <w:top w:val="none" w:sz="0" w:space="0" w:color="auto"/>
        <w:left w:val="none" w:sz="0" w:space="0" w:color="auto"/>
        <w:bottom w:val="none" w:sz="0" w:space="0" w:color="auto"/>
        <w:right w:val="none" w:sz="0" w:space="0" w:color="auto"/>
      </w:divBdr>
    </w:div>
    <w:div w:id="653028537">
      <w:bodyDiv w:val="1"/>
      <w:marLeft w:val="0"/>
      <w:marRight w:val="0"/>
      <w:marTop w:val="0"/>
      <w:marBottom w:val="0"/>
      <w:divBdr>
        <w:top w:val="none" w:sz="0" w:space="0" w:color="auto"/>
        <w:left w:val="none" w:sz="0" w:space="0" w:color="auto"/>
        <w:bottom w:val="none" w:sz="0" w:space="0" w:color="auto"/>
        <w:right w:val="none" w:sz="0" w:space="0" w:color="auto"/>
      </w:divBdr>
    </w:div>
    <w:div w:id="693502341">
      <w:bodyDiv w:val="1"/>
      <w:marLeft w:val="0"/>
      <w:marRight w:val="0"/>
      <w:marTop w:val="0"/>
      <w:marBottom w:val="0"/>
      <w:divBdr>
        <w:top w:val="none" w:sz="0" w:space="0" w:color="auto"/>
        <w:left w:val="none" w:sz="0" w:space="0" w:color="auto"/>
        <w:bottom w:val="none" w:sz="0" w:space="0" w:color="auto"/>
        <w:right w:val="none" w:sz="0" w:space="0" w:color="auto"/>
      </w:divBdr>
    </w:div>
    <w:div w:id="751897230">
      <w:bodyDiv w:val="1"/>
      <w:marLeft w:val="0"/>
      <w:marRight w:val="0"/>
      <w:marTop w:val="0"/>
      <w:marBottom w:val="0"/>
      <w:divBdr>
        <w:top w:val="none" w:sz="0" w:space="0" w:color="auto"/>
        <w:left w:val="none" w:sz="0" w:space="0" w:color="auto"/>
        <w:bottom w:val="none" w:sz="0" w:space="0" w:color="auto"/>
        <w:right w:val="none" w:sz="0" w:space="0" w:color="auto"/>
      </w:divBdr>
    </w:div>
    <w:div w:id="785270627">
      <w:bodyDiv w:val="1"/>
      <w:marLeft w:val="0"/>
      <w:marRight w:val="0"/>
      <w:marTop w:val="0"/>
      <w:marBottom w:val="0"/>
      <w:divBdr>
        <w:top w:val="none" w:sz="0" w:space="0" w:color="auto"/>
        <w:left w:val="none" w:sz="0" w:space="0" w:color="auto"/>
        <w:bottom w:val="none" w:sz="0" w:space="0" w:color="auto"/>
        <w:right w:val="none" w:sz="0" w:space="0" w:color="auto"/>
      </w:divBdr>
    </w:div>
    <w:div w:id="915016756">
      <w:bodyDiv w:val="1"/>
      <w:marLeft w:val="0"/>
      <w:marRight w:val="0"/>
      <w:marTop w:val="0"/>
      <w:marBottom w:val="0"/>
      <w:divBdr>
        <w:top w:val="none" w:sz="0" w:space="0" w:color="auto"/>
        <w:left w:val="none" w:sz="0" w:space="0" w:color="auto"/>
        <w:bottom w:val="none" w:sz="0" w:space="0" w:color="auto"/>
        <w:right w:val="none" w:sz="0" w:space="0" w:color="auto"/>
      </w:divBdr>
    </w:div>
    <w:div w:id="918711356">
      <w:bodyDiv w:val="1"/>
      <w:marLeft w:val="0"/>
      <w:marRight w:val="0"/>
      <w:marTop w:val="0"/>
      <w:marBottom w:val="0"/>
      <w:divBdr>
        <w:top w:val="none" w:sz="0" w:space="0" w:color="auto"/>
        <w:left w:val="none" w:sz="0" w:space="0" w:color="auto"/>
        <w:bottom w:val="none" w:sz="0" w:space="0" w:color="auto"/>
        <w:right w:val="none" w:sz="0" w:space="0" w:color="auto"/>
      </w:divBdr>
    </w:div>
    <w:div w:id="1091392483">
      <w:bodyDiv w:val="1"/>
      <w:marLeft w:val="0"/>
      <w:marRight w:val="0"/>
      <w:marTop w:val="0"/>
      <w:marBottom w:val="0"/>
      <w:divBdr>
        <w:top w:val="none" w:sz="0" w:space="0" w:color="auto"/>
        <w:left w:val="none" w:sz="0" w:space="0" w:color="auto"/>
        <w:bottom w:val="none" w:sz="0" w:space="0" w:color="auto"/>
        <w:right w:val="none" w:sz="0" w:space="0" w:color="auto"/>
      </w:divBdr>
    </w:div>
    <w:div w:id="1212687589">
      <w:bodyDiv w:val="1"/>
      <w:marLeft w:val="0"/>
      <w:marRight w:val="0"/>
      <w:marTop w:val="0"/>
      <w:marBottom w:val="0"/>
      <w:divBdr>
        <w:top w:val="none" w:sz="0" w:space="0" w:color="auto"/>
        <w:left w:val="none" w:sz="0" w:space="0" w:color="auto"/>
        <w:bottom w:val="none" w:sz="0" w:space="0" w:color="auto"/>
        <w:right w:val="none" w:sz="0" w:space="0" w:color="auto"/>
      </w:divBdr>
    </w:div>
    <w:div w:id="1249803135">
      <w:bodyDiv w:val="1"/>
      <w:marLeft w:val="0"/>
      <w:marRight w:val="0"/>
      <w:marTop w:val="0"/>
      <w:marBottom w:val="0"/>
      <w:divBdr>
        <w:top w:val="none" w:sz="0" w:space="0" w:color="auto"/>
        <w:left w:val="none" w:sz="0" w:space="0" w:color="auto"/>
        <w:bottom w:val="none" w:sz="0" w:space="0" w:color="auto"/>
        <w:right w:val="none" w:sz="0" w:space="0" w:color="auto"/>
      </w:divBdr>
    </w:div>
    <w:div w:id="1393042011">
      <w:bodyDiv w:val="1"/>
      <w:marLeft w:val="0"/>
      <w:marRight w:val="0"/>
      <w:marTop w:val="0"/>
      <w:marBottom w:val="0"/>
      <w:divBdr>
        <w:top w:val="none" w:sz="0" w:space="0" w:color="auto"/>
        <w:left w:val="none" w:sz="0" w:space="0" w:color="auto"/>
        <w:bottom w:val="none" w:sz="0" w:space="0" w:color="auto"/>
        <w:right w:val="none" w:sz="0" w:space="0" w:color="auto"/>
      </w:divBdr>
    </w:div>
    <w:div w:id="1606771217">
      <w:bodyDiv w:val="1"/>
      <w:marLeft w:val="0"/>
      <w:marRight w:val="0"/>
      <w:marTop w:val="0"/>
      <w:marBottom w:val="0"/>
      <w:divBdr>
        <w:top w:val="none" w:sz="0" w:space="0" w:color="auto"/>
        <w:left w:val="none" w:sz="0" w:space="0" w:color="auto"/>
        <w:bottom w:val="none" w:sz="0" w:space="0" w:color="auto"/>
        <w:right w:val="none" w:sz="0" w:space="0" w:color="auto"/>
      </w:divBdr>
    </w:div>
    <w:div w:id="1637103231">
      <w:bodyDiv w:val="1"/>
      <w:marLeft w:val="0"/>
      <w:marRight w:val="0"/>
      <w:marTop w:val="0"/>
      <w:marBottom w:val="0"/>
      <w:divBdr>
        <w:top w:val="none" w:sz="0" w:space="0" w:color="auto"/>
        <w:left w:val="none" w:sz="0" w:space="0" w:color="auto"/>
        <w:bottom w:val="none" w:sz="0" w:space="0" w:color="auto"/>
        <w:right w:val="none" w:sz="0" w:space="0" w:color="auto"/>
      </w:divBdr>
    </w:div>
    <w:div w:id="1708944270">
      <w:bodyDiv w:val="1"/>
      <w:marLeft w:val="0"/>
      <w:marRight w:val="0"/>
      <w:marTop w:val="0"/>
      <w:marBottom w:val="0"/>
      <w:divBdr>
        <w:top w:val="none" w:sz="0" w:space="0" w:color="auto"/>
        <w:left w:val="none" w:sz="0" w:space="0" w:color="auto"/>
        <w:bottom w:val="none" w:sz="0" w:space="0" w:color="auto"/>
        <w:right w:val="none" w:sz="0" w:space="0" w:color="auto"/>
      </w:divBdr>
    </w:div>
    <w:div w:id="1858687577">
      <w:bodyDiv w:val="1"/>
      <w:marLeft w:val="0"/>
      <w:marRight w:val="0"/>
      <w:marTop w:val="0"/>
      <w:marBottom w:val="0"/>
      <w:divBdr>
        <w:top w:val="none" w:sz="0" w:space="0" w:color="auto"/>
        <w:left w:val="none" w:sz="0" w:space="0" w:color="auto"/>
        <w:bottom w:val="none" w:sz="0" w:space="0" w:color="auto"/>
        <w:right w:val="none" w:sz="0" w:space="0" w:color="auto"/>
      </w:divBdr>
    </w:div>
    <w:div w:id="1909993458">
      <w:bodyDiv w:val="1"/>
      <w:marLeft w:val="0"/>
      <w:marRight w:val="0"/>
      <w:marTop w:val="0"/>
      <w:marBottom w:val="0"/>
      <w:divBdr>
        <w:top w:val="none" w:sz="0" w:space="0" w:color="auto"/>
        <w:left w:val="none" w:sz="0" w:space="0" w:color="auto"/>
        <w:bottom w:val="none" w:sz="0" w:space="0" w:color="auto"/>
        <w:right w:val="none" w:sz="0" w:space="0" w:color="auto"/>
      </w:divBdr>
    </w:div>
    <w:div w:id="2054381286">
      <w:bodyDiv w:val="1"/>
      <w:marLeft w:val="0"/>
      <w:marRight w:val="0"/>
      <w:marTop w:val="0"/>
      <w:marBottom w:val="0"/>
      <w:divBdr>
        <w:top w:val="none" w:sz="0" w:space="0" w:color="auto"/>
        <w:left w:val="none" w:sz="0" w:space="0" w:color="auto"/>
        <w:bottom w:val="none" w:sz="0" w:space="0" w:color="auto"/>
        <w:right w:val="none" w:sz="0" w:space="0" w:color="auto"/>
      </w:divBdr>
    </w:div>
    <w:div w:id="208190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hedocs.worldbank.org/en/doc/6c0602876d68949e80820507d90a14ed-0290012023/original/Procurement-Regulations-September-2023.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2322</Words>
  <Characters>13242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ratoi</dc:creator>
  <cp:keywords/>
  <dc:description/>
  <cp:lastModifiedBy>Elena Ratoi</cp:lastModifiedBy>
  <cp:revision>4</cp:revision>
  <dcterms:created xsi:type="dcterms:W3CDTF">2026-06-08T06:00:00Z</dcterms:created>
  <dcterms:modified xsi:type="dcterms:W3CDTF">2026-06-08T08:11:00Z</dcterms:modified>
</cp:coreProperties>
</file>