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3B2D0" w14:textId="77777777" w:rsidR="00AD759B" w:rsidRDefault="00AD759B" w:rsidP="00AD759B">
      <w:pPr>
        <w:pBdr>
          <w:top w:val="nil"/>
          <w:left w:val="nil"/>
          <w:bottom w:val="nil"/>
          <w:right w:val="nil"/>
          <w:between w:val="nil"/>
        </w:pBdr>
        <w:jc w:val="center"/>
        <w:rPr>
          <w:b/>
          <w:bCs/>
          <w:color w:val="000000"/>
        </w:rPr>
      </w:pPr>
      <w:r>
        <w:rPr>
          <w:b/>
          <w:bCs/>
          <w:color w:val="000000"/>
        </w:rPr>
        <w:t>Women’s Empowerment through GBV Services (WEGS)</w:t>
      </w:r>
      <w:r>
        <w:rPr>
          <w:b/>
          <w:bCs/>
          <w:i/>
          <w:iCs/>
          <w:color w:val="000000"/>
        </w:rPr>
        <w:t xml:space="preserve"> </w:t>
      </w:r>
      <w:r>
        <w:rPr>
          <w:b/>
          <w:bCs/>
          <w:color w:val="000000"/>
        </w:rPr>
        <w:t>Project</w:t>
      </w:r>
    </w:p>
    <w:p w14:paraId="5BCF8870" w14:textId="77777777" w:rsidR="00AD759B" w:rsidRDefault="00AD759B" w:rsidP="00AD759B">
      <w:pPr>
        <w:pBdr>
          <w:top w:val="nil"/>
          <w:left w:val="nil"/>
          <w:bottom w:val="nil"/>
          <w:right w:val="nil"/>
          <w:between w:val="nil"/>
        </w:pBdr>
        <w:jc w:val="center"/>
        <w:rPr>
          <w:b/>
          <w:bCs/>
          <w:color w:val="000000"/>
        </w:rPr>
      </w:pPr>
    </w:p>
    <w:p w14:paraId="43B21757" w14:textId="77777777" w:rsidR="00AD759B" w:rsidRDefault="00AD759B" w:rsidP="00AD759B">
      <w:pPr>
        <w:pBdr>
          <w:top w:val="nil"/>
          <w:left w:val="nil"/>
          <w:bottom w:val="nil"/>
          <w:right w:val="nil"/>
          <w:between w:val="nil"/>
        </w:pBdr>
        <w:jc w:val="center"/>
        <w:rPr>
          <w:b/>
          <w:bCs/>
          <w:color w:val="000000"/>
        </w:rPr>
      </w:pPr>
      <w:r>
        <w:rPr>
          <w:b/>
          <w:bCs/>
          <w:color w:val="000000"/>
        </w:rPr>
        <w:t>Terms of Reference</w:t>
      </w:r>
    </w:p>
    <w:p w14:paraId="2236389A" w14:textId="77777777" w:rsidR="00AD759B" w:rsidRDefault="00AD759B" w:rsidP="00AD759B">
      <w:pPr>
        <w:pBdr>
          <w:top w:val="nil"/>
          <w:left w:val="nil"/>
          <w:bottom w:val="nil"/>
          <w:right w:val="nil"/>
          <w:between w:val="nil"/>
        </w:pBdr>
        <w:jc w:val="center"/>
        <w:rPr>
          <w:b/>
          <w:bCs/>
          <w:color w:val="000000"/>
        </w:rPr>
      </w:pPr>
    </w:p>
    <w:p w14:paraId="1526372D" w14:textId="04EB07B9" w:rsidR="00AD759B" w:rsidRDefault="00AD759B" w:rsidP="00AD759B">
      <w:pPr>
        <w:pBdr>
          <w:top w:val="nil"/>
          <w:left w:val="nil"/>
          <w:bottom w:val="nil"/>
          <w:right w:val="nil"/>
          <w:between w:val="nil"/>
        </w:pBdr>
        <w:jc w:val="center"/>
        <w:rPr>
          <w:b/>
          <w:bCs/>
        </w:rPr>
      </w:pPr>
      <w:r>
        <w:rPr>
          <w:b/>
          <w:bCs/>
        </w:rPr>
        <w:t xml:space="preserve">CONTRACTING THE DEVELOPMENT SERVICES OF A SECURE CASE MANAGEMENT, PLANNING AND SERVICES PLATFORM </w:t>
      </w:r>
    </w:p>
    <w:p w14:paraId="761F7AE8" w14:textId="77777777" w:rsidR="00AD759B" w:rsidRDefault="00AD759B" w:rsidP="00AD759B">
      <w:pPr>
        <w:pBdr>
          <w:top w:val="nil"/>
          <w:left w:val="nil"/>
          <w:bottom w:val="nil"/>
          <w:right w:val="nil"/>
          <w:between w:val="nil"/>
        </w:pBdr>
        <w:jc w:val="center"/>
        <w:rPr>
          <w:b/>
          <w:bCs/>
          <w:color w:val="000000"/>
        </w:rPr>
      </w:pPr>
    </w:p>
    <w:p w14:paraId="7BD8FD44" w14:textId="4E7922E5" w:rsidR="00AD759B" w:rsidRDefault="00AD759B" w:rsidP="00AD759B">
      <w:pPr>
        <w:pBdr>
          <w:top w:val="nil"/>
          <w:left w:val="nil"/>
          <w:bottom w:val="nil"/>
          <w:right w:val="nil"/>
          <w:between w:val="nil"/>
        </w:pBdr>
        <w:jc w:val="center"/>
        <w:rPr>
          <w:b/>
          <w:bCs/>
        </w:rPr>
      </w:pPr>
      <w:r w:rsidRPr="00AD759B">
        <w:rPr>
          <w:b/>
          <w:bCs/>
        </w:rPr>
        <w:t>MD-AGC-500969-CS-CQS</w:t>
      </w:r>
    </w:p>
    <w:p w14:paraId="183C9B83" w14:textId="77777777" w:rsidR="00AD759B" w:rsidRPr="00AD759B" w:rsidRDefault="00AD759B" w:rsidP="00AD759B">
      <w:pPr>
        <w:pBdr>
          <w:top w:val="nil"/>
          <w:left w:val="nil"/>
          <w:bottom w:val="nil"/>
          <w:right w:val="nil"/>
          <w:between w:val="nil"/>
        </w:pBdr>
        <w:jc w:val="center"/>
        <w:rPr>
          <w:b/>
          <w:bCs/>
        </w:rPr>
      </w:pPr>
    </w:p>
    <w:p w14:paraId="13FB8924" w14:textId="7CFC731C" w:rsidR="00AD759B" w:rsidRDefault="00AD759B" w:rsidP="00AD759B">
      <w:pPr>
        <w:pBdr>
          <w:top w:val="nil"/>
          <w:left w:val="nil"/>
          <w:bottom w:val="nil"/>
          <w:right w:val="nil"/>
          <w:between w:val="nil"/>
        </w:pBdr>
        <w:tabs>
          <w:tab w:val="left" w:pos="450"/>
        </w:tabs>
        <w:spacing w:before="240" w:after="240"/>
        <w:jc w:val="both"/>
        <w:rPr>
          <w:b/>
          <w:bCs/>
          <w:color w:val="000000"/>
        </w:rPr>
      </w:pPr>
      <w:r>
        <w:rPr>
          <w:b/>
          <w:bCs/>
          <w:color w:val="000000"/>
        </w:rPr>
        <w:t xml:space="preserve">INTRODUCTION AND BACKGROUND </w:t>
      </w:r>
    </w:p>
    <w:p w14:paraId="33C8D995" w14:textId="77777777" w:rsidR="00AD759B" w:rsidRDefault="00AD759B" w:rsidP="00AD759B">
      <w:pPr>
        <w:pBdr>
          <w:top w:val="nil"/>
          <w:left w:val="nil"/>
          <w:bottom w:val="nil"/>
          <w:right w:val="nil"/>
          <w:between w:val="nil"/>
        </w:pBdr>
        <w:jc w:val="both"/>
        <w:rPr>
          <w:color w:val="000000"/>
        </w:rPr>
      </w:pPr>
      <w:r>
        <w:rPr>
          <w:color w:val="000000"/>
        </w:rPr>
        <w:t>Moldova's economic recovery in 2024 is encouraging but occurs amid significant challenges. The impacts of Russia's invasion of Ukraine, energy disruptions, and political instability continue to strain the country’s development. Structural reforms—particularly in justice and anti-corruption—are critical for Moldova’s EU accession and medium-term prospects. Poverty remains widespread, especially in rural areas, and traditional poverty-reduction tools like remittances and social assistance are less effective, highlighting the urgent need for employment-based solutions. Low labor force participation and high NEET rates among youth further weaken Moldova’s labor market.</w:t>
      </w:r>
    </w:p>
    <w:p w14:paraId="3B50091D" w14:textId="77777777" w:rsidR="00AD759B" w:rsidRDefault="00AD759B" w:rsidP="00AD759B">
      <w:pPr>
        <w:pBdr>
          <w:top w:val="nil"/>
          <w:left w:val="nil"/>
          <w:bottom w:val="nil"/>
          <w:right w:val="nil"/>
          <w:between w:val="nil"/>
        </w:pBdr>
        <w:jc w:val="both"/>
      </w:pPr>
    </w:p>
    <w:p w14:paraId="087A6B2A" w14:textId="77777777" w:rsidR="00AD759B" w:rsidRDefault="00AD759B" w:rsidP="00AD759B">
      <w:pPr>
        <w:pBdr>
          <w:top w:val="nil"/>
          <w:left w:val="nil"/>
          <w:bottom w:val="nil"/>
          <w:right w:val="nil"/>
          <w:between w:val="nil"/>
        </w:pBdr>
        <w:jc w:val="both"/>
        <w:rPr>
          <w:color w:val="000000"/>
        </w:rPr>
      </w:pPr>
      <w:r>
        <w:rPr>
          <w:color w:val="000000"/>
        </w:rPr>
        <w:t>The war in Ukraine caused a 5.6% GDP contraction in 2022 and intensified vulnerabilities for low-income and marginalized groups. Moldova now hosts 100,000–150,000 Ukrainian refugees, mostly women and children, many of whom face heightened risks of gender-based violence (GBV), economic hardship, and social exclusion. Moldova already has among the highest rates of domestic violence and human trafficking in the region. Despite some efforts, national GBV response systems remain fragmented and underfunded, with few shelters, limited social services, and insufficient long-term support for survivors, particularly in housing and economic empowerment.</w:t>
      </w:r>
    </w:p>
    <w:p w14:paraId="5B6DE4A0" w14:textId="77777777" w:rsidR="00AD759B" w:rsidRDefault="00AD759B" w:rsidP="00AD759B">
      <w:pPr>
        <w:spacing w:before="240" w:after="240" w:line="259" w:lineRule="auto"/>
        <w:jc w:val="both"/>
      </w:pPr>
      <w:r>
        <w:t xml:space="preserve">To address these gaps, the </w:t>
      </w:r>
      <w:r>
        <w:rPr>
          <w:i/>
          <w:iCs/>
        </w:rPr>
        <w:t>Women’s Empowerment through GBV Services (WEGS)</w:t>
      </w:r>
      <w:r>
        <w:t xml:space="preserve"> Project, financed by the Japan Social Development Fund through the World Bank and implemented by AO Gender-Centru in partnership with AVE Copiii and national stakeholders, introduces a pilot model that delivers integrated, survivor-centered services in four target regions of Moldova: Chișinău, Bălți, Cahul, and Ștefan Vodă.</w:t>
      </w:r>
    </w:p>
    <w:p w14:paraId="21E8BB13" w14:textId="77777777" w:rsidR="00AD759B" w:rsidRDefault="00AD759B" w:rsidP="00AD759B">
      <w:pPr>
        <w:spacing w:before="240" w:after="240" w:line="259" w:lineRule="auto"/>
        <w:jc w:val="both"/>
      </w:pPr>
      <w:r>
        <w:t xml:space="preserve">WEGS aims to improve access to integrated, specialized services for gender-based violence (GBV) survivors and support their economic empowerment, while enhancing government and NGO capacity to address GBV in selected Moldovan communities. </w:t>
      </w:r>
    </w:p>
    <w:p w14:paraId="785D7F6C" w14:textId="77777777" w:rsidR="00AD759B" w:rsidRDefault="00AD759B" w:rsidP="00AD759B">
      <w:pPr>
        <w:pBdr>
          <w:top w:val="nil"/>
          <w:left w:val="nil"/>
          <w:bottom w:val="nil"/>
          <w:right w:val="nil"/>
          <w:between w:val="nil"/>
        </w:pBdr>
        <w:tabs>
          <w:tab w:val="left" w:pos="450"/>
        </w:tabs>
        <w:spacing w:before="240" w:after="240"/>
        <w:jc w:val="both"/>
        <w:rPr>
          <w:b/>
          <w:bCs/>
          <w:color w:val="000000"/>
        </w:rPr>
      </w:pPr>
      <w:r>
        <w:rPr>
          <w:b/>
          <w:bCs/>
          <w:color w:val="000000"/>
        </w:rPr>
        <w:t>PROJECT DESCRIPTION</w:t>
      </w:r>
    </w:p>
    <w:p w14:paraId="35EE42ED" w14:textId="77777777" w:rsidR="00AD759B" w:rsidRDefault="00AD759B" w:rsidP="00AD759B">
      <w:pPr>
        <w:pBdr>
          <w:top w:val="nil"/>
          <w:left w:val="nil"/>
          <w:bottom w:val="nil"/>
          <w:right w:val="nil"/>
          <w:between w:val="nil"/>
        </w:pBdr>
        <w:jc w:val="both"/>
        <w:rPr>
          <w:b/>
          <w:bCs/>
          <w:i/>
          <w:iCs/>
          <w:color w:val="000000"/>
        </w:rPr>
      </w:pPr>
      <w:r>
        <w:rPr>
          <w:b/>
          <w:bCs/>
          <w:i/>
          <w:iCs/>
          <w:color w:val="000000"/>
        </w:rPr>
        <w:t>Component 1:</w:t>
      </w:r>
      <w:r>
        <w:rPr>
          <w:i/>
          <w:iCs/>
          <w:color w:val="000000"/>
        </w:rPr>
        <w:t xml:space="preserve"> </w:t>
      </w:r>
      <w:r>
        <w:rPr>
          <w:b/>
          <w:bCs/>
          <w:i/>
          <w:iCs/>
          <w:color w:val="000000"/>
        </w:rPr>
        <w:t>Empowering Women Survivors, including Refugees, through Improved GBV Response Services and Case Management ($2,086,255)</w:t>
      </w:r>
    </w:p>
    <w:p w14:paraId="108A5F22" w14:textId="77777777" w:rsidR="00AD759B" w:rsidRDefault="00AD759B" w:rsidP="00AD759B">
      <w:pPr>
        <w:pBdr>
          <w:top w:val="nil"/>
          <w:left w:val="nil"/>
          <w:bottom w:val="nil"/>
          <w:right w:val="nil"/>
          <w:between w:val="nil"/>
        </w:pBdr>
        <w:jc w:val="both"/>
        <w:rPr>
          <w:color w:val="000000"/>
        </w:rPr>
      </w:pPr>
      <w:r>
        <w:rPr>
          <w:i/>
          <w:iCs/>
          <w:color w:val="000000"/>
        </w:rPr>
        <w:t>Subcomponent 1.1. Emergency Assistance:</w:t>
      </w:r>
      <w:r>
        <w:rPr>
          <w:b/>
          <w:bCs/>
          <w:color w:val="000000"/>
        </w:rPr>
        <w:t xml:space="preserve"> </w:t>
      </w:r>
      <w:r>
        <w:rPr>
          <w:color w:val="000000"/>
        </w:rPr>
        <w:t xml:space="preserve">This subcomponent offers 300 gender-based violence (GBV) survivors and their children immediate safety through shelter and transitional housing, along with comprehensive psychosocial, legal, medical, and social assistance tailored to individual </w:t>
      </w:r>
      <w:r>
        <w:rPr>
          <w:color w:val="000000"/>
        </w:rPr>
        <w:lastRenderedPageBreak/>
        <w:t>needs. Additionally, survivors will gain access to legal representation and participate in personal development and job-readiness programs.</w:t>
      </w:r>
    </w:p>
    <w:p w14:paraId="27705772" w14:textId="77777777" w:rsidR="00AD759B" w:rsidRDefault="00AD759B" w:rsidP="00AD759B">
      <w:pPr>
        <w:pBdr>
          <w:top w:val="nil"/>
          <w:left w:val="nil"/>
          <w:bottom w:val="nil"/>
          <w:right w:val="nil"/>
          <w:between w:val="nil"/>
        </w:pBdr>
        <w:jc w:val="both"/>
        <w:rPr>
          <w:color w:val="000000"/>
        </w:rPr>
      </w:pPr>
      <w:r>
        <w:rPr>
          <w:i/>
          <w:iCs/>
          <w:color w:val="000000"/>
        </w:rPr>
        <w:t>Subcomponent 1.2 Economic Empowerment Option 1:</w:t>
      </w:r>
      <w:r>
        <w:rPr>
          <w:color w:val="000000"/>
        </w:rPr>
        <w:t xml:space="preserve"> This subcomponent provides vocational training and assisted employment services for survivors with no prior professional qualifications, enabling access to wage employment in local markets.</w:t>
      </w:r>
    </w:p>
    <w:p w14:paraId="1BD77DD1" w14:textId="77777777" w:rsidR="00AD759B" w:rsidRDefault="00AD759B" w:rsidP="00AD759B">
      <w:pPr>
        <w:pBdr>
          <w:top w:val="nil"/>
          <w:left w:val="nil"/>
          <w:bottom w:val="nil"/>
          <w:right w:val="nil"/>
          <w:between w:val="nil"/>
        </w:pBdr>
        <w:jc w:val="both"/>
        <w:rPr>
          <w:color w:val="000000"/>
        </w:rPr>
      </w:pPr>
      <w:r>
        <w:rPr>
          <w:i/>
          <w:iCs/>
          <w:color w:val="000000"/>
        </w:rPr>
        <w:t>Subcomponent 1.3 Economic Empowerment Option 2:</w:t>
      </w:r>
      <w:r>
        <w:rPr>
          <w:color w:val="000000"/>
        </w:rPr>
        <w:t xml:space="preserve"> This subcomponent will support survivors who complete development and business training with viable business plans to receive tools and support to launch sustainable self-employment or micro-enterprises.</w:t>
      </w:r>
    </w:p>
    <w:p w14:paraId="350286C1" w14:textId="77777777" w:rsidR="00AD759B" w:rsidRDefault="00AD759B" w:rsidP="00AD759B">
      <w:pPr>
        <w:pBdr>
          <w:top w:val="nil"/>
          <w:left w:val="nil"/>
          <w:bottom w:val="nil"/>
          <w:right w:val="nil"/>
          <w:between w:val="nil"/>
        </w:pBdr>
        <w:jc w:val="both"/>
        <w:rPr>
          <w:b/>
          <w:bCs/>
          <w:i/>
          <w:iCs/>
          <w:color w:val="000000"/>
        </w:rPr>
      </w:pPr>
      <w:r>
        <w:rPr>
          <w:b/>
          <w:bCs/>
          <w:i/>
          <w:iCs/>
          <w:color w:val="000000"/>
        </w:rPr>
        <w:t>Component 2: Strengthening the Institutional Mechanism for Combating GBV ($ 215,850)</w:t>
      </w:r>
    </w:p>
    <w:p w14:paraId="3CF86D0F" w14:textId="77777777" w:rsidR="00AD759B" w:rsidRDefault="00AD759B" w:rsidP="00AD759B">
      <w:pPr>
        <w:pBdr>
          <w:top w:val="nil"/>
          <w:left w:val="nil"/>
          <w:bottom w:val="nil"/>
          <w:right w:val="nil"/>
          <w:between w:val="nil"/>
        </w:pBdr>
        <w:jc w:val="both"/>
        <w:rPr>
          <w:color w:val="000000"/>
        </w:rPr>
      </w:pPr>
      <w:r>
        <w:rPr>
          <w:i/>
          <w:iCs/>
          <w:color w:val="000000"/>
        </w:rPr>
        <w:t>Subcomponent 2.1</w:t>
      </w:r>
      <w:r>
        <w:rPr>
          <w:b/>
          <w:bCs/>
          <w:color w:val="000000"/>
        </w:rPr>
        <w:t xml:space="preserve"> </w:t>
      </w:r>
      <w:r>
        <w:rPr>
          <w:i/>
          <w:iCs/>
          <w:color w:val="000000"/>
        </w:rPr>
        <w:t xml:space="preserve">Capacity building on the GBV survivor-centered approach and case management: </w:t>
      </w:r>
      <w:r>
        <w:rPr>
          <w:color w:val="000000"/>
        </w:rPr>
        <w:t>This subcomponent aims at strengthening the capacity of national and local agencies involved in the gender-based violence (GBV) response mechanism, including the National Employment Agency (NEA) and the National Agency for Preventing and Combating Domestic Violence (ANPCV), through comprehensive training for over 200 specialists and the development of a GBV case-management "Snapshot" handbook.</w:t>
      </w:r>
    </w:p>
    <w:p w14:paraId="217CB536" w14:textId="77777777" w:rsidR="00AD759B" w:rsidRDefault="00AD759B" w:rsidP="00AD759B">
      <w:pPr>
        <w:pBdr>
          <w:top w:val="nil"/>
          <w:left w:val="nil"/>
          <w:bottom w:val="nil"/>
          <w:right w:val="nil"/>
          <w:between w:val="nil"/>
        </w:pBdr>
        <w:jc w:val="both"/>
        <w:rPr>
          <w:color w:val="000000"/>
        </w:rPr>
      </w:pPr>
      <w:r>
        <w:rPr>
          <w:i/>
          <w:iCs/>
          <w:color w:val="000000"/>
        </w:rPr>
        <w:t>Subcomponent 2.2 Prevention outreach and awareness raising about GBV and about GBV services:</w:t>
      </w:r>
      <w:r>
        <w:rPr>
          <w:b/>
          <w:bCs/>
          <w:color w:val="000000"/>
        </w:rPr>
        <w:t xml:space="preserve"> </w:t>
      </w:r>
      <w:r>
        <w:rPr>
          <w:color w:val="000000"/>
        </w:rPr>
        <w:t>This subcomponent aims at implementing a strategic approach to GBV prevention through customized capacity building for specialists and community awareness campaigns, utilizing channels such as educational sessions in partnership with the National Association of Librarians for over 800 students and adults, and developing radio, TV, and social media informational spots about GBV and available support services.</w:t>
      </w:r>
    </w:p>
    <w:p w14:paraId="4840AD83" w14:textId="77777777" w:rsidR="00AD759B" w:rsidRDefault="00AD759B" w:rsidP="00AD759B">
      <w:pPr>
        <w:pBdr>
          <w:top w:val="nil"/>
          <w:left w:val="nil"/>
          <w:bottom w:val="nil"/>
          <w:right w:val="nil"/>
          <w:between w:val="nil"/>
        </w:pBdr>
        <w:jc w:val="both"/>
        <w:rPr>
          <w:b/>
          <w:bCs/>
          <w:i/>
          <w:iCs/>
          <w:color w:val="000000"/>
        </w:rPr>
      </w:pPr>
      <w:r>
        <w:rPr>
          <w:b/>
          <w:bCs/>
          <w:i/>
          <w:iCs/>
          <w:color w:val="000000"/>
        </w:rPr>
        <w:t>Component 3: Project Management and Administration, M&amp;E, and Knowledge Dissemination ($452,195)</w:t>
      </w:r>
    </w:p>
    <w:p w14:paraId="744D4CB5" w14:textId="77777777" w:rsidR="00AD759B" w:rsidRDefault="00AD759B" w:rsidP="00AD759B">
      <w:pPr>
        <w:pBdr>
          <w:top w:val="nil"/>
          <w:left w:val="nil"/>
          <w:bottom w:val="nil"/>
          <w:right w:val="nil"/>
          <w:between w:val="nil"/>
        </w:pBdr>
        <w:jc w:val="both"/>
        <w:rPr>
          <w:color w:val="000000"/>
        </w:rPr>
      </w:pPr>
      <w:r>
        <w:rPr>
          <w:i/>
          <w:iCs/>
          <w:color w:val="000000"/>
        </w:rPr>
        <w:t>Subcomponent 3.1. Project Management and Administration:</w:t>
      </w:r>
      <w:r>
        <w:rPr>
          <w:b/>
          <w:bCs/>
          <w:color w:val="000000"/>
        </w:rPr>
        <w:t xml:space="preserve"> </w:t>
      </w:r>
      <w:r>
        <w:rPr>
          <w:color w:val="000000"/>
        </w:rPr>
        <w:t>This subcomponent aims at ensuring robust project management and administration through annual planning, financial oversight, procurement, and comprehensive monitoring and evaluation, all coordinated by Gender Centru, and bolstered by the guidance and external supervision of a multi-stakeholder Steering Committee that will meet semi-annually.</w:t>
      </w:r>
    </w:p>
    <w:p w14:paraId="5484BEF4" w14:textId="77777777" w:rsidR="00AD759B" w:rsidRDefault="00AD759B" w:rsidP="00AD759B">
      <w:pPr>
        <w:pBdr>
          <w:top w:val="nil"/>
          <w:left w:val="nil"/>
          <w:bottom w:val="nil"/>
          <w:right w:val="nil"/>
          <w:between w:val="nil"/>
        </w:pBdr>
        <w:jc w:val="both"/>
        <w:rPr>
          <w:i/>
          <w:iCs/>
          <w:color w:val="000000"/>
        </w:rPr>
      </w:pPr>
      <w:r>
        <w:rPr>
          <w:i/>
          <w:iCs/>
          <w:color w:val="000000"/>
        </w:rPr>
        <w:t xml:space="preserve">Subcomponent 3.2 Monitoring and Evaluation (M&amp;E): </w:t>
      </w:r>
      <w:r>
        <w:rPr>
          <w:color w:val="000000"/>
        </w:rPr>
        <w:t>This subcomponent aims at establishing a robust monitoring and evaluation system to meticulously track GBV cases, analyze beneficiary progress, and generate "project learning" to identify effective strategies and address weaknesses in service provision, all while rigorously adhering to data protection protocols.</w:t>
      </w:r>
    </w:p>
    <w:p w14:paraId="039E7295" w14:textId="77777777" w:rsidR="00AD759B" w:rsidRDefault="00AD759B" w:rsidP="00AD759B">
      <w:pPr>
        <w:pBdr>
          <w:top w:val="nil"/>
          <w:left w:val="nil"/>
          <w:bottom w:val="nil"/>
          <w:right w:val="nil"/>
          <w:between w:val="nil"/>
        </w:pBdr>
        <w:jc w:val="both"/>
        <w:rPr>
          <w:i/>
          <w:iCs/>
          <w:color w:val="000000"/>
        </w:rPr>
      </w:pPr>
      <w:r>
        <w:rPr>
          <w:i/>
          <w:iCs/>
          <w:color w:val="000000"/>
        </w:rPr>
        <w:t>Subcomponent 3.3 Knowledge Dissemination:</w:t>
      </w:r>
      <w:r>
        <w:rPr>
          <w:b/>
          <w:bCs/>
          <w:i/>
          <w:iCs/>
          <w:color w:val="000000"/>
        </w:rPr>
        <w:t xml:space="preserve"> </w:t>
      </w:r>
      <w:r>
        <w:rPr>
          <w:color w:val="000000"/>
        </w:rPr>
        <w:t>This subcomponent aims at disseminating knowledge and best practices through a variety of channels, including training for government and NGO specialists, awareness-raising sessions for students and adults via the National Association of Librarians, broadcasting radio and TV spots about GBV services, and developing guidance notes based on project evaluation and case management analysis.</w:t>
      </w:r>
    </w:p>
    <w:p w14:paraId="061DC83F" w14:textId="4DF72224" w:rsidR="004B6424" w:rsidRDefault="004B6424"/>
    <w:p w14:paraId="2DE64F87" w14:textId="77777777" w:rsidR="00AD759B" w:rsidRPr="00AD759B" w:rsidRDefault="00AD759B" w:rsidP="00AD759B">
      <w:pPr>
        <w:pBdr>
          <w:top w:val="nil"/>
          <w:left w:val="nil"/>
          <w:bottom w:val="nil"/>
          <w:right w:val="nil"/>
          <w:between w:val="nil"/>
        </w:pBdr>
        <w:tabs>
          <w:tab w:val="left" w:pos="450"/>
        </w:tabs>
        <w:spacing w:before="240" w:after="240"/>
        <w:jc w:val="both"/>
        <w:rPr>
          <w:b/>
          <w:bCs/>
          <w:color w:val="000000"/>
        </w:rPr>
      </w:pPr>
      <w:r w:rsidRPr="00AD759B">
        <w:rPr>
          <w:b/>
          <w:bCs/>
          <w:color w:val="000000"/>
        </w:rPr>
        <w:t>OBJECTIVE</w:t>
      </w:r>
    </w:p>
    <w:p w14:paraId="0669C5CE" w14:textId="2BFDFF35" w:rsidR="00AD759B" w:rsidRPr="00AD759B" w:rsidRDefault="00AD759B" w:rsidP="00AD759B">
      <w:pPr>
        <w:jc w:val="both"/>
      </w:pPr>
      <w:r w:rsidRPr="00AD759B">
        <w:t xml:space="preserve">The objective </w:t>
      </w:r>
      <w:r>
        <w:t xml:space="preserve">of this assignment </w:t>
      </w:r>
      <w:r w:rsidRPr="00AD759B">
        <w:t>is to select a qualified software company to conduct discovery, propose the functional scope, design, build, test, deploy and support a secure case management platform for the organization.</w:t>
      </w:r>
    </w:p>
    <w:p w14:paraId="22D6112E" w14:textId="77777777" w:rsidR="00AD759B" w:rsidRPr="00AD759B" w:rsidRDefault="00AD759B" w:rsidP="00AD759B">
      <w:pPr>
        <w:numPr>
          <w:ilvl w:val="0"/>
          <w:numId w:val="1"/>
        </w:numPr>
        <w:pBdr>
          <w:top w:val="nil"/>
          <w:left w:val="nil"/>
          <w:bottom w:val="nil"/>
          <w:right w:val="nil"/>
          <w:between w:val="nil"/>
        </w:pBdr>
        <w:spacing w:line="259" w:lineRule="auto"/>
        <w:jc w:val="both"/>
      </w:pPr>
      <w:r w:rsidRPr="00AD759B">
        <w:rPr>
          <w:rFonts w:eastAsia="Aptos"/>
          <w:color w:val="000000"/>
        </w:rPr>
        <w:t>Improve structured management of cases, plans and services while preserving survivor confidentiality.</w:t>
      </w:r>
    </w:p>
    <w:p w14:paraId="095DE509" w14:textId="77777777" w:rsidR="00AD759B" w:rsidRPr="00AD759B" w:rsidRDefault="00AD759B" w:rsidP="00AD759B">
      <w:pPr>
        <w:numPr>
          <w:ilvl w:val="0"/>
          <w:numId w:val="1"/>
        </w:numPr>
        <w:pBdr>
          <w:top w:val="nil"/>
          <w:left w:val="nil"/>
          <w:bottom w:val="nil"/>
          <w:right w:val="nil"/>
          <w:between w:val="nil"/>
        </w:pBdr>
        <w:spacing w:line="259" w:lineRule="auto"/>
        <w:jc w:val="both"/>
      </w:pPr>
      <w:r w:rsidRPr="00AD759B">
        <w:rPr>
          <w:rFonts w:eastAsia="Aptos"/>
          <w:color w:val="000000"/>
        </w:rPr>
        <w:lastRenderedPageBreak/>
        <w:t>Enable caseworkers and supervisors to coordinate support, approvals and follow-up more reliably.</w:t>
      </w:r>
    </w:p>
    <w:p w14:paraId="72283D25" w14:textId="77777777" w:rsidR="00AD759B" w:rsidRPr="00AD759B" w:rsidRDefault="00AD759B" w:rsidP="00AD759B">
      <w:pPr>
        <w:numPr>
          <w:ilvl w:val="0"/>
          <w:numId w:val="1"/>
        </w:numPr>
        <w:pBdr>
          <w:top w:val="nil"/>
          <w:left w:val="nil"/>
          <w:bottom w:val="nil"/>
          <w:right w:val="nil"/>
          <w:between w:val="nil"/>
        </w:pBdr>
        <w:spacing w:line="259" w:lineRule="auto"/>
        <w:jc w:val="both"/>
      </w:pPr>
      <w:r w:rsidRPr="00AD759B">
        <w:rPr>
          <w:rFonts w:eastAsia="Aptos"/>
          <w:color w:val="000000"/>
        </w:rPr>
        <w:t>Provide management with useful dashboards and reports without exposing unnecessary personal data.</w:t>
      </w:r>
    </w:p>
    <w:p w14:paraId="0CBE9B19" w14:textId="77777777" w:rsidR="00AD759B" w:rsidRPr="00AD759B" w:rsidRDefault="00AD759B" w:rsidP="00AD759B">
      <w:pPr>
        <w:numPr>
          <w:ilvl w:val="0"/>
          <w:numId w:val="1"/>
        </w:numPr>
        <w:pBdr>
          <w:top w:val="nil"/>
          <w:left w:val="nil"/>
          <w:bottom w:val="nil"/>
          <w:right w:val="nil"/>
          <w:between w:val="nil"/>
        </w:pBdr>
        <w:spacing w:line="259" w:lineRule="auto"/>
        <w:jc w:val="both"/>
      </w:pPr>
      <w:r w:rsidRPr="00AD759B">
        <w:rPr>
          <w:rFonts w:eastAsia="Aptos"/>
          <w:color w:val="000000"/>
        </w:rPr>
        <w:t>Allow future configuration of forms, roles, workflows, lookup values and reports without heavy software redevelopment.</w:t>
      </w:r>
    </w:p>
    <w:p w14:paraId="0750BBDE" w14:textId="77777777" w:rsidR="00AD759B" w:rsidRPr="00AD759B" w:rsidRDefault="00AD759B" w:rsidP="00AD759B">
      <w:pPr>
        <w:numPr>
          <w:ilvl w:val="0"/>
          <w:numId w:val="1"/>
        </w:numPr>
        <w:pBdr>
          <w:top w:val="nil"/>
          <w:left w:val="nil"/>
          <w:bottom w:val="nil"/>
          <w:right w:val="nil"/>
          <w:between w:val="nil"/>
        </w:pBdr>
        <w:spacing w:after="120" w:line="259" w:lineRule="auto"/>
        <w:jc w:val="both"/>
      </w:pPr>
      <w:r w:rsidRPr="00AD759B">
        <w:rPr>
          <w:rFonts w:eastAsia="Aptos"/>
          <w:color w:val="000000"/>
        </w:rPr>
        <w:t>Create a sustainable system that can be administered, maintained and improved after launch.</w:t>
      </w:r>
    </w:p>
    <w:p w14:paraId="3F43E673" w14:textId="66D0D057" w:rsidR="00AD759B" w:rsidRPr="00AD759B" w:rsidRDefault="00C956EA" w:rsidP="00AD759B">
      <w:pPr>
        <w:pBdr>
          <w:top w:val="nil"/>
          <w:left w:val="nil"/>
          <w:bottom w:val="nil"/>
          <w:right w:val="nil"/>
          <w:between w:val="nil"/>
        </w:pBdr>
        <w:tabs>
          <w:tab w:val="left" w:pos="450"/>
        </w:tabs>
        <w:spacing w:before="240" w:after="240"/>
        <w:jc w:val="both"/>
        <w:rPr>
          <w:b/>
          <w:bCs/>
          <w:color w:val="000000"/>
        </w:rPr>
      </w:pPr>
      <w:r>
        <w:rPr>
          <w:b/>
          <w:bCs/>
          <w:color w:val="000000"/>
        </w:rPr>
        <w:t>SCOPE</w:t>
      </w:r>
      <w:r w:rsidR="00AD759B" w:rsidRPr="00AD759B">
        <w:rPr>
          <w:b/>
          <w:bCs/>
          <w:color w:val="000000"/>
        </w:rPr>
        <w:t xml:space="preserve"> </w:t>
      </w:r>
    </w:p>
    <w:p w14:paraId="2AECA976" w14:textId="77777777" w:rsidR="00AD759B" w:rsidRPr="00AD759B" w:rsidRDefault="00AD759B" w:rsidP="00AD759B">
      <w:pPr>
        <w:jc w:val="both"/>
      </w:pPr>
      <w:r w:rsidRPr="00AD759B">
        <w:t>The contracting authority will describe expected outcomes, core record types and constraints, but bidders must propose the detailed functional scope. The proposal must demonstrate that the bidder understands the work of a GBV service provider and can translate that understanding into a coherent digital product.</w:t>
      </w:r>
    </w:p>
    <w:p w14:paraId="43E2A69A" w14:textId="77777777" w:rsidR="00AD759B" w:rsidRDefault="00AD759B" w:rsidP="00AD759B">
      <w:pPr>
        <w:jc w:val="both"/>
      </w:pPr>
    </w:p>
    <w:p w14:paraId="542DEBFB" w14:textId="64DE6C03" w:rsidR="00AD759B" w:rsidRPr="00AD759B" w:rsidRDefault="00AD759B" w:rsidP="00AD759B">
      <w:pPr>
        <w:jc w:val="both"/>
      </w:pPr>
      <w:r w:rsidRPr="00AD759B">
        <w:t>At minimum, bidders must address the following business areas without merely copying them as a feature checklist:</w:t>
      </w:r>
    </w:p>
    <w:p w14:paraId="00C2ED68" w14:textId="77777777" w:rsidR="00AD759B" w:rsidRPr="00AD759B" w:rsidRDefault="00AD759B" w:rsidP="00AD759B">
      <w:pPr>
        <w:numPr>
          <w:ilvl w:val="0"/>
          <w:numId w:val="1"/>
        </w:numPr>
        <w:pBdr>
          <w:top w:val="nil"/>
          <w:left w:val="nil"/>
          <w:bottom w:val="nil"/>
          <w:right w:val="nil"/>
          <w:between w:val="nil"/>
        </w:pBdr>
        <w:spacing w:line="259" w:lineRule="auto"/>
        <w:jc w:val="both"/>
      </w:pPr>
      <w:r w:rsidRPr="00AD759B">
        <w:rPr>
          <w:rFonts w:eastAsia="Aptos"/>
          <w:b/>
          <w:bCs/>
          <w:color w:val="000000"/>
        </w:rPr>
        <w:t xml:space="preserve">Case management: </w:t>
      </w:r>
      <w:r w:rsidRPr="00AD759B">
        <w:rPr>
          <w:rFonts w:eastAsia="Aptos"/>
          <w:color w:val="000000"/>
        </w:rPr>
        <w:t>registration, identity and safe contact data, assessment, consent, safety planning, action planning, notes, follow-up, closure, reopening and controlled access.</w:t>
      </w:r>
    </w:p>
    <w:p w14:paraId="511A4D80" w14:textId="77777777" w:rsidR="00AD759B" w:rsidRPr="00AD759B" w:rsidRDefault="00AD759B" w:rsidP="00AD759B">
      <w:pPr>
        <w:numPr>
          <w:ilvl w:val="0"/>
          <w:numId w:val="1"/>
        </w:numPr>
        <w:pBdr>
          <w:top w:val="nil"/>
          <w:left w:val="nil"/>
          <w:bottom w:val="nil"/>
          <w:right w:val="nil"/>
          <w:between w:val="nil"/>
        </w:pBdr>
        <w:spacing w:line="259" w:lineRule="auto"/>
        <w:jc w:val="both"/>
      </w:pPr>
      <w:r w:rsidRPr="00AD759B">
        <w:rPr>
          <w:rFonts w:eastAsia="Aptos"/>
          <w:b/>
          <w:bCs/>
          <w:color w:val="000000"/>
        </w:rPr>
        <w:t xml:space="preserve">Incident documentation: </w:t>
      </w:r>
      <w:r w:rsidRPr="00AD759B">
        <w:rPr>
          <w:rFonts w:eastAsia="Aptos"/>
          <w:color w:val="000000"/>
        </w:rPr>
        <w:t>recording of reported events, classification logic, links to cases, consent and responsible handling of sensitive narratives.</w:t>
      </w:r>
    </w:p>
    <w:p w14:paraId="791C1378" w14:textId="77777777" w:rsidR="00AD759B" w:rsidRPr="00AD759B" w:rsidRDefault="00AD759B" w:rsidP="00AD759B">
      <w:pPr>
        <w:numPr>
          <w:ilvl w:val="0"/>
          <w:numId w:val="1"/>
        </w:numPr>
        <w:pBdr>
          <w:top w:val="nil"/>
          <w:left w:val="nil"/>
          <w:bottom w:val="nil"/>
          <w:right w:val="nil"/>
          <w:between w:val="nil"/>
        </w:pBdr>
        <w:spacing w:line="259" w:lineRule="auto"/>
        <w:jc w:val="both"/>
      </w:pPr>
      <w:r w:rsidRPr="00AD759B">
        <w:rPr>
          <w:rFonts w:eastAsia="Aptos"/>
          <w:b/>
          <w:bCs/>
          <w:color w:val="000000"/>
        </w:rPr>
        <w:t xml:space="preserve">Family context: </w:t>
      </w:r>
      <w:r w:rsidRPr="00AD759B">
        <w:rPr>
          <w:rFonts w:eastAsia="Aptos"/>
          <w:color w:val="000000"/>
        </w:rPr>
        <w:t>family records, members, linked cases and contextual notes where this supports casework.</w:t>
      </w:r>
    </w:p>
    <w:p w14:paraId="4523E472" w14:textId="77777777" w:rsidR="00AD759B" w:rsidRPr="00AD759B" w:rsidRDefault="00AD759B" w:rsidP="00AD759B">
      <w:pPr>
        <w:numPr>
          <w:ilvl w:val="0"/>
          <w:numId w:val="1"/>
        </w:numPr>
        <w:pBdr>
          <w:top w:val="nil"/>
          <w:left w:val="nil"/>
          <w:bottom w:val="nil"/>
          <w:right w:val="nil"/>
          <w:between w:val="nil"/>
        </w:pBdr>
        <w:spacing w:line="259" w:lineRule="auto"/>
        <w:jc w:val="both"/>
      </w:pPr>
      <w:r w:rsidRPr="00AD759B">
        <w:rPr>
          <w:rFonts w:eastAsia="Aptos"/>
          <w:b/>
          <w:bCs/>
          <w:color w:val="000000"/>
        </w:rPr>
        <w:t xml:space="preserve">Planning: </w:t>
      </w:r>
      <w:r w:rsidRPr="00AD759B">
        <w:rPr>
          <w:rFonts w:eastAsia="Aptos"/>
          <w:color w:val="000000"/>
        </w:rPr>
        <w:t>individual or family plans with goals, responsibilities, deadlines, approval flows, progress tracking and history.</w:t>
      </w:r>
    </w:p>
    <w:p w14:paraId="0CFFBB04" w14:textId="088639F6" w:rsidR="00AD759B" w:rsidRPr="0013570A" w:rsidRDefault="00AD759B" w:rsidP="00AD759B">
      <w:pPr>
        <w:numPr>
          <w:ilvl w:val="0"/>
          <w:numId w:val="1"/>
        </w:numPr>
        <w:pBdr>
          <w:top w:val="nil"/>
          <w:left w:val="nil"/>
          <w:bottom w:val="nil"/>
          <w:right w:val="nil"/>
          <w:between w:val="nil"/>
        </w:pBdr>
        <w:spacing w:line="259" w:lineRule="auto"/>
        <w:jc w:val="both"/>
      </w:pPr>
      <w:r w:rsidRPr="00AD759B">
        <w:rPr>
          <w:rFonts w:eastAsia="Aptos"/>
          <w:b/>
          <w:bCs/>
          <w:color w:val="000000"/>
        </w:rPr>
        <w:t xml:space="preserve">Services: </w:t>
      </w:r>
      <w:r w:rsidRPr="00AD759B">
        <w:rPr>
          <w:rFonts w:eastAsia="Aptos"/>
          <w:color w:val="000000"/>
        </w:rPr>
        <w:t>service categories, referrals, provider data, deadlines, status, progress notes, voucher or material support tracking where relevant.</w:t>
      </w:r>
    </w:p>
    <w:p w14:paraId="294B1287" w14:textId="77777777" w:rsidR="0013570A" w:rsidRPr="0013570A" w:rsidRDefault="0013570A" w:rsidP="0013570A">
      <w:pPr>
        <w:numPr>
          <w:ilvl w:val="0"/>
          <w:numId w:val="1"/>
        </w:numPr>
        <w:pBdr>
          <w:top w:val="nil"/>
          <w:left w:val="nil"/>
          <w:bottom w:val="nil"/>
          <w:right w:val="nil"/>
          <w:between w:val="nil"/>
        </w:pBdr>
        <w:spacing w:after="120" w:line="259" w:lineRule="auto"/>
        <w:jc w:val="both"/>
        <w:rPr>
          <w:rFonts w:eastAsia="Aptos"/>
          <w:color w:val="000000"/>
        </w:rPr>
      </w:pPr>
      <w:r w:rsidRPr="0013570A">
        <w:rPr>
          <w:rFonts w:eastAsia="Aptos"/>
          <w:b/>
          <w:bCs/>
          <w:color w:val="000000"/>
        </w:rPr>
        <w:t>Person and project participation management:</w:t>
      </w:r>
      <w:r w:rsidRPr="0013570A">
        <w:rPr>
          <w:rFonts w:eastAsia="Aptos"/>
          <w:color w:val="000000"/>
        </w:rPr>
        <w:t xml:space="preserve"> the platform should support a core person registry independent from formal case management workflows. Persons may participate in projects, events, trainings, consultations or services without requiring creation of a formal case record. The system should allow linking persons to case management workflows, projects and activities, while maintaining a historical timeline of participation, services and past or active cases subject to role-based access permissions.</w:t>
      </w:r>
    </w:p>
    <w:p w14:paraId="49B63483" w14:textId="77777777" w:rsidR="00AD759B" w:rsidRPr="00AD759B" w:rsidRDefault="00AD759B" w:rsidP="00AD759B">
      <w:pPr>
        <w:numPr>
          <w:ilvl w:val="0"/>
          <w:numId w:val="1"/>
        </w:numPr>
        <w:pBdr>
          <w:top w:val="nil"/>
          <w:left w:val="nil"/>
          <w:bottom w:val="nil"/>
          <w:right w:val="nil"/>
          <w:between w:val="nil"/>
        </w:pBdr>
        <w:spacing w:line="259" w:lineRule="auto"/>
        <w:jc w:val="both"/>
      </w:pPr>
      <w:r w:rsidRPr="00AD759B">
        <w:rPr>
          <w:rFonts w:eastAsia="Aptos"/>
          <w:b/>
          <w:bCs/>
          <w:color w:val="000000"/>
        </w:rPr>
        <w:t xml:space="preserve">Search, dashboards and reporting: </w:t>
      </w:r>
      <w:r w:rsidRPr="00AD759B">
        <w:rPr>
          <w:rFonts w:eastAsia="Aptos"/>
          <w:color w:val="000000"/>
        </w:rPr>
        <w:t>operational search, filtered lists, overdue services, caseloads, approvals, exports and management indicators.</w:t>
      </w:r>
    </w:p>
    <w:p w14:paraId="6E0957EF" w14:textId="2A66016B" w:rsidR="00AD759B" w:rsidRPr="0013570A" w:rsidRDefault="00AD759B" w:rsidP="00AD759B">
      <w:pPr>
        <w:numPr>
          <w:ilvl w:val="0"/>
          <w:numId w:val="1"/>
        </w:numPr>
        <w:pBdr>
          <w:top w:val="nil"/>
          <w:left w:val="nil"/>
          <w:bottom w:val="nil"/>
          <w:right w:val="nil"/>
          <w:between w:val="nil"/>
        </w:pBdr>
        <w:spacing w:after="120" w:line="259" w:lineRule="auto"/>
        <w:jc w:val="both"/>
      </w:pPr>
      <w:r w:rsidRPr="00AD759B">
        <w:rPr>
          <w:rFonts w:eastAsia="Aptos"/>
          <w:b/>
          <w:bCs/>
          <w:color w:val="000000"/>
        </w:rPr>
        <w:t xml:space="preserve">Administration: </w:t>
      </w:r>
      <w:r w:rsidRPr="00AD759B">
        <w:rPr>
          <w:rFonts w:eastAsia="Aptos"/>
          <w:color w:val="000000"/>
        </w:rPr>
        <w:t>users, roles, permissions, workflows, forms, lookup values, location hierarchy, notifications and audit logs.</w:t>
      </w:r>
    </w:p>
    <w:p w14:paraId="4010C68A" w14:textId="77777777" w:rsidR="00C956EA" w:rsidRDefault="00AD759B" w:rsidP="00C956EA">
      <w:pPr>
        <w:jc w:val="both"/>
      </w:pPr>
      <w:r w:rsidRPr="00AD759B">
        <w:t>The bidder must include a recommended functional architecture, user roles, workflows, minimum viable product scope, later phase scope and features that should be excluded or postponed. A proposal that simply repeats the broad categories above without analysis should be considered weak.</w:t>
      </w:r>
    </w:p>
    <w:p w14:paraId="053017F5" w14:textId="77777777" w:rsidR="00C956EA" w:rsidRDefault="00C956EA" w:rsidP="00C956EA">
      <w:pPr>
        <w:jc w:val="both"/>
      </w:pPr>
    </w:p>
    <w:p w14:paraId="6C355352" w14:textId="7202E280" w:rsidR="00AD759B" w:rsidRDefault="00C956EA" w:rsidP="00C956EA">
      <w:pPr>
        <w:jc w:val="both"/>
        <w:rPr>
          <w:b/>
          <w:bCs/>
          <w:color w:val="000000"/>
        </w:rPr>
      </w:pPr>
      <w:r w:rsidRPr="00C956EA">
        <w:rPr>
          <w:b/>
          <w:bCs/>
          <w:color w:val="000000"/>
        </w:rPr>
        <w:t>EXPECTED DISCOVERY AND DESIGN PROCESS</w:t>
      </w:r>
    </w:p>
    <w:p w14:paraId="73B84F5E" w14:textId="77777777" w:rsidR="00C956EA" w:rsidRPr="00C956EA" w:rsidRDefault="00C956EA" w:rsidP="00C956EA">
      <w:pPr>
        <w:jc w:val="both"/>
      </w:pPr>
    </w:p>
    <w:tbl>
      <w:tblPr>
        <w:tblW w:w="10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7086"/>
      </w:tblGrid>
      <w:tr w:rsidR="00AD759B" w:rsidRPr="00AD759B" w14:paraId="15D1DD5E" w14:textId="77777777" w:rsidTr="00C956EA">
        <w:trPr>
          <w:tblHeader/>
          <w:jc w:val="center"/>
        </w:trPr>
        <w:tc>
          <w:tcPr>
            <w:tcW w:w="3114" w:type="dxa"/>
            <w:shd w:val="clear" w:color="auto" w:fill="1F4E79"/>
            <w:vAlign w:val="center"/>
          </w:tcPr>
          <w:p w14:paraId="54CA744A" w14:textId="77777777" w:rsidR="00AD759B" w:rsidRPr="00AD759B" w:rsidRDefault="00AD759B" w:rsidP="00C60483">
            <w:r w:rsidRPr="00AD759B">
              <w:rPr>
                <w:b/>
                <w:bCs/>
                <w:color w:val="FFFFFF"/>
              </w:rPr>
              <w:lastRenderedPageBreak/>
              <w:t>Stage</w:t>
            </w:r>
          </w:p>
        </w:tc>
        <w:tc>
          <w:tcPr>
            <w:tcW w:w="7086" w:type="dxa"/>
            <w:shd w:val="clear" w:color="auto" w:fill="1F4E79"/>
            <w:vAlign w:val="center"/>
          </w:tcPr>
          <w:p w14:paraId="75DC0C54" w14:textId="77777777" w:rsidR="00AD759B" w:rsidRPr="00AD759B" w:rsidRDefault="00AD759B" w:rsidP="00C60483">
            <w:r w:rsidRPr="00AD759B">
              <w:rPr>
                <w:b/>
                <w:bCs/>
                <w:color w:val="FFFFFF"/>
              </w:rPr>
              <w:t>Expected bidder output</w:t>
            </w:r>
          </w:p>
        </w:tc>
      </w:tr>
      <w:tr w:rsidR="00AD759B" w:rsidRPr="00AD759B" w14:paraId="27264330" w14:textId="77777777" w:rsidTr="00C956EA">
        <w:trPr>
          <w:jc w:val="center"/>
        </w:trPr>
        <w:tc>
          <w:tcPr>
            <w:tcW w:w="3114" w:type="dxa"/>
            <w:vAlign w:val="center"/>
          </w:tcPr>
          <w:p w14:paraId="2F261386" w14:textId="77777777" w:rsidR="00AD759B" w:rsidRPr="00AD759B" w:rsidRDefault="00AD759B" w:rsidP="00C60483">
            <w:r w:rsidRPr="00AD759B">
              <w:t>Inception</w:t>
            </w:r>
          </w:p>
        </w:tc>
        <w:tc>
          <w:tcPr>
            <w:tcW w:w="7086" w:type="dxa"/>
            <w:vAlign w:val="center"/>
          </w:tcPr>
          <w:p w14:paraId="62C7D43E" w14:textId="77777777" w:rsidR="00AD759B" w:rsidRPr="00AD759B" w:rsidRDefault="00AD759B" w:rsidP="00C60483">
            <w:r w:rsidRPr="00AD759B">
              <w:t>Workplan, stakeholder map, risk register, confidentiality protocol and discovery schedule.</w:t>
            </w:r>
          </w:p>
        </w:tc>
      </w:tr>
      <w:tr w:rsidR="00AD759B" w:rsidRPr="00AD759B" w14:paraId="26D3D603" w14:textId="77777777" w:rsidTr="00C956EA">
        <w:trPr>
          <w:jc w:val="center"/>
        </w:trPr>
        <w:tc>
          <w:tcPr>
            <w:tcW w:w="3114" w:type="dxa"/>
            <w:vAlign w:val="center"/>
          </w:tcPr>
          <w:p w14:paraId="01EC5B2A" w14:textId="77777777" w:rsidR="00AD759B" w:rsidRPr="00AD759B" w:rsidRDefault="00AD759B" w:rsidP="00C60483">
            <w:r w:rsidRPr="00AD759B">
              <w:t>Operational discovery</w:t>
            </w:r>
          </w:p>
        </w:tc>
        <w:tc>
          <w:tcPr>
            <w:tcW w:w="7086" w:type="dxa"/>
            <w:vAlign w:val="center"/>
          </w:tcPr>
          <w:p w14:paraId="6371FBC0" w14:textId="77777777" w:rsidR="00AD759B" w:rsidRPr="00AD759B" w:rsidRDefault="00AD759B" w:rsidP="00C60483">
            <w:r w:rsidRPr="00AD759B">
              <w:t>Interviews/workshops with management, caseworkers, supervisors, administrators and reporting users; review of current forms and workflows.</w:t>
            </w:r>
          </w:p>
        </w:tc>
      </w:tr>
      <w:tr w:rsidR="00AD759B" w:rsidRPr="00AD759B" w14:paraId="711F3D0E" w14:textId="77777777" w:rsidTr="00C956EA">
        <w:trPr>
          <w:jc w:val="center"/>
        </w:trPr>
        <w:tc>
          <w:tcPr>
            <w:tcW w:w="3114" w:type="dxa"/>
            <w:vAlign w:val="center"/>
          </w:tcPr>
          <w:p w14:paraId="27C5F2BB" w14:textId="77777777" w:rsidR="00AD759B" w:rsidRPr="00AD759B" w:rsidRDefault="00AD759B" w:rsidP="00C60483">
            <w:r w:rsidRPr="00AD759B">
              <w:t>Functional analysis</w:t>
            </w:r>
          </w:p>
        </w:tc>
        <w:tc>
          <w:tcPr>
            <w:tcW w:w="7086" w:type="dxa"/>
            <w:vAlign w:val="center"/>
          </w:tcPr>
          <w:p w14:paraId="6FFDA7E7" w14:textId="77777777" w:rsidR="00AD759B" w:rsidRPr="00AD759B" w:rsidRDefault="00AD759B" w:rsidP="00C60483">
            <w:r w:rsidRPr="00AD759B">
              <w:t>Proposed module map, user journeys, role matrix, workflow states, data model, forms catalogue and reporting catalogue.</w:t>
            </w:r>
          </w:p>
        </w:tc>
      </w:tr>
      <w:tr w:rsidR="00AD759B" w:rsidRPr="00AD759B" w14:paraId="7F082435" w14:textId="77777777" w:rsidTr="00C956EA">
        <w:trPr>
          <w:jc w:val="center"/>
        </w:trPr>
        <w:tc>
          <w:tcPr>
            <w:tcW w:w="3114" w:type="dxa"/>
            <w:vAlign w:val="center"/>
          </w:tcPr>
          <w:p w14:paraId="567630E7" w14:textId="77777777" w:rsidR="00AD759B" w:rsidRPr="00AD759B" w:rsidRDefault="00AD759B" w:rsidP="00C60483">
            <w:r w:rsidRPr="00AD759B">
              <w:t>Security and privacy design</w:t>
            </w:r>
          </w:p>
        </w:tc>
        <w:tc>
          <w:tcPr>
            <w:tcW w:w="7086" w:type="dxa"/>
            <w:vAlign w:val="center"/>
          </w:tcPr>
          <w:p w14:paraId="0F3F00A3" w14:textId="77777777" w:rsidR="00AD759B" w:rsidRPr="00AD759B" w:rsidRDefault="00AD759B" w:rsidP="00C60483">
            <w:r w:rsidRPr="00AD759B">
              <w:t>Access control model, consent model, audit logging, encryption, backup, data retention and incident response approach.</w:t>
            </w:r>
          </w:p>
        </w:tc>
      </w:tr>
      <w:tr w:rsidR="00AD759B" w:rsidRPr="00AD759B" w14:paraId="03C8C089" w14:textId="77777777" w:rsidTr="00C956EA">
        <w:trPr>
          <w:jc w:val="center"/>
        </w:trPr>
        <w:tc>
          <w:tcPr>
            <w:tcW w:w="3114" w:type="dxa"/>
            <w:vAlign w:val="center"/>
          </w:tcPr>
          <w:p w14:paraId="766211E4" w14:textId="77777777" w:rsidR="00AD759B" w:rsidRPr="00AD759B" w:rsidRDefault="00AD759B" w:rsidP="00C60483">
            <w:r w:rsidRPr="00AD759B">
              <w:t>Prototype validation</w:t>
            </w:r>
          </w:p>
        </w:tc>
        <w:tc>
          <w:tcPr>
            <w:tcW w:w="7086" w:type="dxa"/>
            <w:vAlign w:val="center"/>
          </w:tcPr>
          <w:p w14:paraId="2B5555C9" w14:textId="77777777" w:rsidR="00AD759B" w:rsidRPr="00AD759B" w:rsidRDefault="00AD759B" w:rsidP="00C60483">
            <w:r w:rsidRPr="00AD759B">
              <w:t>Clickable prototype or working demo of key flows, revised based on user feedback before full build.</w:t>
            </w:r>
          </w:p>
        </w:tc>
      </w:tr>
      <w:tr w:rsidR="00AD759B" w:rsidRPr="00AD759B" w14:paraId="58DF785C" w14:textId="77777777" w:rsidTr="00C956EA">
        <w:trPr>
          <w:jc w:val="center"/>
        </w:trPr>
        <w:tc>
          <w:tcPr>
            <w:tcW w:w="3114" w:type="dxa"/>
            <w:vAlign w:val="center"/>
          </w:tcPr>
          <w:p w14:paraId="478F0A4E" w14:textId="77777777" w:rsidR="00AD759B" w:rsidRPr="00AD759B" w:rsidRDefault="00AD759B" w:rsidP="00C60483">
            <w:r w:rsidRPr="00AD759B">
              <w:t>Implementation planning</w:t>
            </w:r>
          </w:p>
        </w:tc>
        <w:tc>
          <w:tcPr>
            <w:tcW w:w="7086" w:type="dxa"/>
            <w:vAlign w:val="center"/>
          </w:tcPr>
          <w:p w14:paraId="558B3790" w14:textId="77777777" w:rsidR="00AD759B" w:rsidRPr="00AD759B" w:rsidRDefault="00AD759B" w:rsidP="00C60483">
            <w:r w:rsidRPr="00AD759B">
              <w:t>Prioritized backlog, release plan, acceptance criteria, test plan and training plan.</w:t>
            </w:r>
          </w:p>
        </w:tc>
      </w:tr>
    </w:tbl>
    <w:p w14:paraId="2344D2BD" w14:textId="77777777" w:rsidR="00C956EA" w:rsidRDefault="00C956EA" w:rsidP="00C956EA">
      <w:pPr>
        <w:jc w:val="both"/>
        <w:rPr>
          <w:b/>
          <w:bCs/>
          <w:color w:val="000000"/>
        </w:rPr>
      </w:pPr>
    </w:p>
    <w:p w14:paraId="36CEDF4D" w14:textId="2E5DB93F" w:rsidR="00AD759B" w:rsidRDefault="00C956EA" w:rsidP="00C956EA">
      <w:pPr>
        <w:jc w:val="both"/>
        <w:rPr>
          <w:b/>
          <w:bCs/>
          <w:color w:val="000000"/>
        </w:rPr>
      </w:pPr>
      <w:r w:rsidRPr="00C956EA">
        <w:rPr>
          <w:b/>
          <w:bCs/>
          <w:color w:val="000000"/>
        </w:rPr>
        <w:t>KEY PRODUCT REQUIREMENTS</w:t>
      </w:r>
    </w:p>
    <w:p w14:paraId="5C98747C" w14:textId="77777777" w:rsidR="00C956EA" w:rsidRPr="00C956EA" w:rsidRDefault="00C956EA" w:rsidP="00C956EA">
      <w:pPr>
        <w:jc w:val="both"/>
        <w:rPr>
          <w:b/>
          <w:bCs/>
          <w:color w:val="000000"/>
        </w:rPr>
      </w:pPr>
    </w:p>
    <w:p w14:paraId="39595A86" w14:textId="70611C50" w:rsidR="00AD759B" w:rsidRPr="00AD759B" w:rsidRDefault="00AD759B" w:rsidP="00C956EA">
      <w:pPr>
        <w:jc w:val="both"/>
      </w:pPr>
      <w:r w:rsidRPr="00AD759B">
        <w:t>The bidder must define detailed requirements, but the proposed product must satisfy the following minimum characteristics</w:t>
      </w:r>
      <w:r w:rsidR="00C956EA">
        <w:t>:</w:t>
      </w:r>
    </w:p>
    <w:p w14:paraId="33F2A072" w14:textId="77777777" w:rsidR="00AD759B" w:rsidRPr="00AD759B" w:rsidRDefault="00AD759B" w:rsidP="00C956EA">
      <w:pPr>
        <w:numPr>
          <w:ilvl w:val="0"/>
          <w:numId w:val="1"/>
        </w:numPr>
        <w:pBdr>
          <w:top w:val="nil"/>
          <w:left w:val="nil"/>
          <w:bottom w:val="nil"/>
          <w:right w:val="nil"/>
          <w:between w:val="nil"/>
        </w:pBdr>
        <w:spacing w:line="259" w:lineRule="auto"/>
        <w:jc w:val="both"/>
      </w:pPr>
      <w:r w:rsidRPr="00AD759B">
        <w:rPr>
          <w:rFonts w:eastAsia="Aptos"/>
          <w:color w:val="000000"/>
        </w:rPr>
        <w:t>Role-based access control with need-to-know visibility by role, team, location and record ownership.</w:t>
      </w:r>
    </w:p>
    <w:p w14:paraId="7E02001D" w14:textId="77777777" w:rsidR="00AD759B" w:rsidRPr="00AD759B" w:rsidRDefault="00AD759B" w:rsidP="00C956EA">
      <w:pPr>
        <w:numPr>
          <w:ilvl w:val="0"/>
          <w:numId w:val="1"/>
        </w:numPr>
        <w:pBdr>
          <w:top w:val="nil"/>
          <w:left w:val="nil"/>
          <w:bottom w:val="nil"/>
          <w:right w:val="nil"/>
          <w:between w:val="nil"/>
        </w:pBdr>
        <w:spacing w:line="259" w:lineRule="auto"/>
        <w:jc w:val="both"/>
      </w:pPr>
      <w:r w:rsidRPr="00AD759B">
        <w:rPr>
          <w:rFonts w:eastAsia="Aptos"/>
          <w:color w:val="000000"/>
        </w:rPr>
        <w:t>Consent-aware referrals and exports, including prevention of external sharing where consent is absent or revoked.</w:t>
      </w:r>
    </w:p>
    <w:p w14:paraId="2DCB5C69" w14:textId="77777777" w:rsidR="00AD759B" w:rsidRPr="00AD759B" w:rsidRDefault="00AD759B" w:rsidP="00C956EA">
      <w:pPr>
        <w:numPr>
          <w:ilvl w:val="0"/>
          <w:numId w:val="1"/>
        </w:numPr>
        <w:pBdr>
          <w:top w:val="nil"/>
          <w:left w:val="nil"/>
          <w:bottom w:val="nil"/>
          <w:right w:val="nil"/>
          <w:between w:val="nil"/>
        </w:pBdr>
        <w:spacing w:line="259" w:lineRule="auto"/>
        <w:jc w:val="both"/>
      </w:pPr>
      <w:r w:rsidRPr="00AD759B">
        <w:rPr>
          <w:rFonts w:eastAsia="Aptos"/>
          <w:color w:val="000000"/>
        </w:rPr>
        <w:t>Append-only or strongly audited history for sensitive notes, approvals, referrals, status changes, exports and record views.</w:t>
      </w:r>
    </w:p>
    <w:p w14:paraId="6DA4F5FE" w14:textId="77777777" w:rsidR="00AD759B" w:rsidRPr="00AD759B" w:rsidRDefault="00AD759B" w:rsidP="00C956EA">
      <w:pPr>
        <w:numPr>
          <w:ilvl w:val="0"/>
          <w:numId w:val="1"/>
        </w:numPr>
        <w:pBdr>
          <w:top w:val="nil"/>
          <w:left w:val="nil"/>
          <w:bottom w:val="nil"/>
          <w:right w:val="nil"/>
          <w:between w:val="nil"/>
        </w:pBdr>
        <w:spacing w:line="259" w:lineRule="auto"/>
        <w:jc w:val="both"/>
      </w:pPr>
      <w:r w:rsidRPr="00AD759B">
        <w:rPr>
          <w:rFonts w:eastAsia="Aptos"/>
          <w:color w:val="000000"/>
        </w:rPr>
        <w:t>Configurable forms, fields, lookup values, workflow stages, approval types and notifications.</w:t>
      </w:r>
    </w:p>
    <w:p w14:paraId="6C7E06E9" w14:textId="77777777" w:rsidR="00AD759B" w:rsidRPr="00AD759B" w:rsidRDefault="00AD759B" w:rsidP="00C956EA">
      <w:pPr>
        <w:numPr>
          <w:ilvl w:val="0"/>
          <w:numId w:val="1"/>
        </w:numPr>
        <w:pBdr>
          <w:top w:val="nil"/>
          <w:left w:val="nil"/>
          <w:bottom w:val="nil"/>
          <w:right w:val="nil"/>
          <w:between w:val="nil"/>
        </w:pBdr>
        <w:spacing w:line="259" w:lineRule="auto"/>
        <w:jc w:val="both"/>
      </w:pPr>
      <w:r w:rsidRPr="00AD759B">
        <w:rPr>
          <w:rFonts w:eastAsia="Aptos"/>
          <w:color w:val="000000"/>
        </w:rPr>
        <w:t>Safe search and duplicate detection that support casework without encouraging unnecessary disclosure.</w:t>
      </w:r>
    </w:p>
    <w:p w14:paraId="39DBF961" w14:textId="77777777" w:rsidR="00AD759B" w:rsidRPr="00AD759B" w:rsidRDefault="00AD759B" w:rsidP="00C956EA">
      <w:pPr>
        <w:numPr>
          <w:ilvl w:val="0"/>
          <w:numId w:val="1"/>
        </w:numPr>
        <w:pBdr>
          <w:top w:val="nil"/>
          <w:left w:val="nil"/>
          <w:bottom w:val="nil"/>
          <w:right w:val="nil"/>
          <w:between w:val="nil"/>
        </w:pBdr>
        <w:spacing w:line="259" w:lineRule="auto"/>
        <w:jc w:val="both"/>
      </w:pPr>
      <w:r w:rsidRPr="00AD759B">
        <w:rPr>
          <w:rFonts w:eastAsia="Aptos"/>
          <w:color w:val="000000"/>
        </w:rPr>
        <w:t>Supervisor review and approval workflows for critical actions such as plan approval and case closure.</w:t>
      </w:r>
    </w:p>
    <w:p w14:paraId="46FAC4E5" w14:textId="77777777" w:rsidR="00AD759B" w:rsidRPr="00AD759B" w:rsidRDefault="00AD759B" w:rsidP="00C956EA">
      <w:pPr>
        <w:numPr>
          <w:ilvl w:val="0"/>
          <w:numId w:val="1"/>
        </w:numPr>
        <w:pBdr>
          <w:top w:val="nil"/>
          <w:left w:val="nil"/>
          <w:bottom w:val="nil"/>
          <w:right w:val="nil"/>
          <w:between w:val="nil"/>
        </w:pBdr>
        <w:spacing w:line="259" w:lineRule="auto"/>
        <w:jc w:val="both"/>
      </w:pPr>
      <w:r w:rsidRPr="00AD759B">
        <w:rPr>
          <w:rFonts w:eastAsia="Aptos"/>
          <w:color w:val="000000"/>
        </w:rPr>
        <w:t>Dashboards for caseworkers, supervisors and administrators, with filters by period, location, caseworker, status and service category.</w:t>
      </w:r>
    </w:p>
    <w:p w14:paraId="1D606A0C" w14:textId="77777777" w:rsidR="00AD759B" w:rsidRPr="00AD759B" w:rsidRDefault="00AD759B" w:rsidP="00C956EA">
      <w:pPr>
        <w:numPr>
          <w:ilvl w:val="0"/>
          <w:numId w:val="1"/>
        </w:numPr>
        <w:pBdr>
          <w:top w:val="nil"/>
          <w:left w:val="nil"/>
          <w:bottom w:val="nil"/>
          <w:right w:val="nil"/>
          <w:between w:val="nil"/>
        </w:pBdr>
        <w:spacing w:line="259" w:lineRule="auto"/>
        <w:jc w:val="both"/>
      </w:pPr>
      <w:r w:rsidRPr="00AD759B">
        <w:rPr>
          <w:rFonts w:eastAsia="Aptos"/>
          <w:color w:val="000000"/>
        </w:rPr>
        <w:t>Export capabilities to Excel/CSV and PDF, restricted by user permissions and fully logged.</w:t>
      </w:r>
    </w:p>
    <w:p w14:paraId="16D11492" w14:textId="77777777" w:rsidR="00AD759B" w:rsidRPr="00AD759B" w:rsidRDefault="00AD759B" w:rsidP="00C956EA">
      <w:pPr>
        <w:numPr>
          <w:ilvl w:val="0"/>
          <w:numId w:val="1"/>
        </w:numPr>
        <w:pBdr>
          <w:top w:val="nil"/>
          <w:left w:val="nil"/>
          <w:bottom w:val="nil"/>
          <w:right w:val="nil"/>
          <w:between w:val="nil"/>
        </w:pBdr>
        <w:spacing w:after="120" w:line="259" w:lineRule="auto"/>
        <w:jc w:val="both"/>
      </w:pPr>
      <w:r w:rsidRPr="00AD759B">
        <w:rPr>
          <w:rFonts w:eastAsia="Aptos"/>
          <w:color w:val="000000"/>
        </w:rPr>
        <w:t>Responsive web application usable on current desktop, tablet and mobile browsers.</w:t>
      </w:r>
    </w:p>
    <w:p w14:paraId="6E0EE014" w14:textId="77777777" w:rsidR="00AD759B" w:rsidRPr="00AD759B" w:rsidRDefault="00AD759B" w:rsidP="00C956EA">
      <w:pPr>
        <w:jc w:val="both"/>
      </w:pPr>
      <w:r w:rsidRPr="00AD759B">
        <w:rPr>
          <w:b/>
          <w:bCs/>
        </w:rPr>
        <w:t xml:space="preserve">Primero interoperability: </w:t>
      </w:r>
      <w:r w:rsidRPr="00AD759B">
        <w:t>The bidder must propose how the platform can synchronize, import, export or otherwise exchange data with Primero data from other Primero instances, subject to consent, permissions, data protection requirements and the technical possibilities of the relevant Primero deployments.</w:t>
      </w:r>
    </w:p>
    <w:p w14:paraId="4BB76490" w14:textId="77777777" w:rsidR="00AD759B" w:rsidRPr="00AD759B" w:rsidRDefault="00AD759B" w:rsidP="00C956EA">
      <w:pPr>
        <w:numPr>
          <w:ilvl w:val="0"/>
          <w:numId w:val="1"/>
        </w:numPr>
        <w:pBdr>
          <w:top w:val="nil"/>
          <w:left w:val="nil"/>
          <w:bottom w:val="nil"/>
          <w:right w:val="nil"/>
          <w:between w:val="nil"/>
        </w:pBdr>
        <w:spacing w:after="120" w:line="259" w:lineRule="auto"/>
        <w:jc w:val="both"/>
      </w:pPr>
      <w:r w:rsidRPr="00AD759B">
        <w:rPr>
          <w:rFonts w:eastAsia="Aptos"/>
          <w:color w:val="000000"/>
        </w:rPr>
        <w:t>Romanian user interface as mandatory; Russian and English support should be proposed as options if useful.</w:t>
      </w:r>
    </w:p>
    <w:p w14:paraId="344C1B59" w14:textId="77777777" w:rsidR="00C956EA" w:rsidRDefault="00C956EA" w:rsidP="00C956EA">
      <w:pPr>
        <w:jc w:val="both"/>
        <w:rPr>
          <w:b/>
          <w:bCs/>
          <w:color w:val="000000"/>
        </w:rPr>
      </w:pPr>
    </w:p>
    <w:p w14:paraId="5599C78C" w14:textId="4CBF1808" w:rsidR="00AD759B" w:rsidRDefault="00C956EA" w:rsidP="00C956EA">
      <w:pPr>
        <w:jc w:val="both"/>
        <w:rPr>
          <w:b/>
          <w:bCs/>
          <w:color w:val="000000"/>
        </w:rPr>
      </w:pPr>
      <w:r w:rsidRPr="00C956EA">
        <w:rPr>
          <w:b/>
          <w:bCs/>
          <w:color w:val="000000"/>
        </w:rPr>
        <w:t>SECURITY, PRIVACY AND SAFEGUARDING REQUIREMENTS</w:t>
      </w:r>
    </w:p>
    <w:p w14:paraId="5A09D1B5" w14:textId="77777777" w:rsidR="00C956EA" w:rsidRPr="00C956EA" w:rsidRDefault="00C956EA" w:rsidP="00C956EA">
      <w:pPr>
        <w:jc w:val="both"/>
        <w:rPr>
          <w:b/>
          <w:bCs/>
          <w:color w:val="000000"/>
        </w:rPr>
      </w:pPr>
    </w:p>
    <w:p w14:paraId="07891A88" w14:textId="5A11F2AA" w:rsidR="00AD759B" w:rsidRPr="00AD759B" w:rsidRDefault="00AD759B" w:rsidP="00AD759B">
      <w:r w:rsidRPr="00AD759B">
        <w:lastRenderedPageBreak/>
        <w:t>Because the system will process highly sensitive personal data, the following requirements are mandatory and must be evidenced in the proposal.</w:t>
      </w:r>
    </w:p>
    <w:tbl>
      <w:tblPr>
        <w:tblW w:w="10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7511"/>
      </w:tblGrid>
      <w:tr w:rsidR="00AD759B" w:rsidRPr="00AD759B" w14:paraId="3D96141B" w14:textId="77777777" w:rsidTr="00C956EA">
        <w:trPr>
          <w:tblHeader/>
          <w:jc w:val="center"/>
        </w:trPr>
        <w:tc>
          <w:tcPr>
            <w:tcW w:w="2689" w:type="dxa"/>
            <w:shd w:val="clear" w:color="auto" w:fill="1F4E79"/>
            <w:vAlign w:val="center"/>
          </w:tcPr>
          <w:p w14:paraId="31CB90A0" w14:textId="77777777" w:rsidR="00AD759B" w:rsidRPr="00AD759B" w:rsidRDefault="00AD759B" w:rsidP="00C60483">
            <w:r w:rsidRPr="00AD759B">
              <w:rPr>
                <w:b/>
                <w:bCs/>
                <w:color w:val="FFFFFF"/>
              </w:rPr>
              <w:t>Area</w:t>
            </w:r>
          </w:p>
        </w:tc>
        <w:tc>
          <w:tcPr>
            <w:tcW w:w="7511" w:type="dxa"/>
            <w:shd w:val="clear" w:color="auto" w:fill="1F4E79"/>
            <w:vAlign w:val="center"/>
          </w:tcPr>
          <w:p w14:paraId="69780CF5" w14:textId="77777777" w:rsidR="00AD759B" w:rsidRPr="00AD759B" w:rsidRDefault="00AD759B" w:rsidP="00C60483">
            <w:r w:rsidRPr="00AD759B">
              <w:rPr>
                <w:b/>
                <w:bCs/>
                <w:color w:val="FFFFFF"/>
              </w:rPr>
              <w:t>Mandatory requirement</w:t>
            </w:r>
          </w:p>
        </w:tc>
      </w:tr>
      <w:tr w:rsidR="00AD759B" w:rsidRPr="00AD759B" w14:paraId="415FC612" w14:textId="77777777" w:rsidTr="00C956EA">
        <w:trPr>
          <w:jc w:val="center"/>
        </w:trPr>
        <w:tc>
          <w:tcPr>
            <w:tcW w:w="2689" w:type="dxa"/>
            <w:vAlign w:val="center"/>
          </w:tcPr>
          <w:p w14:paraId="418E2860" w14:textId="77777777" w:rsidR="00AD759B" w:rsidRPr="00AD759B" w:rsidRDefault="00AD759B" w:rsidP="00C60483">
            <w:r w:rsidRPr="00AD759B">
              <w:t>Data protection</w:t>
            </w:r>
          </w:p>
        </w:tc>
        <w:tc>
          <w:tcPr>
            <w:tcW w:w="7511" w:type="dxa"/>
            <w:vAlign w:val="center"/>
          </w:tcPr>
          <w:p w14:paraId="05AFB92E" w14:textId="77777777" w:rsidR="00AD759B" w:rsidRPr="00AD759B" w:rsidRDefault="00AD759B" w:rsidP="00C60483">
            <w:r w:rsidRPr="00AD759B">
              <w:t>Compliance with applicable Moldovan personal data protection requirements and alignment with GDPR principles where relevant.</w:t>
            </w:r>
          </w:p>
        </w:tc>
      </w:tr>
      <w:tr w:rsidR="00AD759B" w:rsidRPr="00AD759B" w14:paraId="1A97FA47" w14:textId="77777777" w:rsidTr="00C956EA">
        <w:trPr>
          <w:jc w:val="center"/>
        </w:trPr>
        <w:tc>
          <w:tcPr>
            <w:tcW w:w="2689" w:type="dxa"/>
            <w:vAlign w:val="center"/>
          </w:tcPr>
          <w:p w14:paraId="123E6866" w14:textId="77777777" w:rsidR="00AD759B" w:rsidRPr="00AD759B" w:rsidRDefault="00AD759B" w:rsidP="00C60483">
            <w:r w:rsidRPr="00AD759B">
              <w:t>Confidentiality</w:t>
            </w:r>
          </w:p>
        </w:tc>
        <w:tc>
          <w:tcPr>
            <w:tcW w:w="7511" w:type="dxa"/>
            <w:vAlign w:val="center"/>
          </w:tcPr>
          <w:p w14:paraId="7F37CBF2" w14:textId="77777777" w:rsidR="00AD759B" w:rsidRPr="00AD759B" w:rsidRDefault="00AD759B" w:rsidP="00C60483">
            <w:r w:rsidRPr="00AD759B">
              <w:t>Confidentiality by design, with minimum necessary data collection and record visibility.</w:t>
            </w:r>
          </w:p>
        </w:tc>
      </w:tr>
      <w:tr w:rsidR="00AD759B" w:rsidRPr="00AD759B" w14:paraId="00682D28" w14:textId="77777777" w:rsidTr="00C956EA">
        <w:trPr>
          <w:jc w:val="center"/>
        </w:trPr>
        <w:tc>
          <w:tcPr>
            <w:tcW w:w="2689" w:type="dxa"/>
            <w:vAlign w:val="center"/>
          </w:tcPr>
          <w:p w14:paraId="536936E8" w14:textId="77777777" w:rsidR="00AD759B" w:rsidRPr="00AD759B" w:rsidRDefault="00AD759B" w:rsidP="00C60483">
            <w:r w:rsidRPr="00AD759B">
              <w:t>Authentication</w:t>
            </w:r>
          </w:p>
        </w:tc>
        <w:tc>
          <w:tcPr>
            <w:tcW w:w="7511" w:type="dxa"/>
            <w:vAlign w:val="center"/>
          </w:tcPr>
          <w:p w14:paraId="066C3634" w14:textId="77777777" w:rsidR="00AD759B" w:rsidRPr="00AD759B" w:rsidRDefault="00AD759B" w:rsidP="00C60483">
            <w:r w:rsidRPr="00AD759B">
              <w:t>Strong password policies, configurable session timeout and support for multi-factor authentication.</w:t>
            </w:r>
          </w:p>
        </w:tc>
      </w:tr>
      <w:tr w:rsidR="00AD759B" w:rsidRPr="00AD759B" w14:paraId="5A9F753E" w14:textId="77777777" w:rsidTr="00C956EA">
        <w:trPr>
          <w:jc w:val="center"/>
        </w:trPr>
        <w:tc>
          <w:tcPr>
            <w:tcW w:w="2689" w:type="dxa"/>
            <w:vAlign w:val="center"/>
          </w:tcPr>
          <w:p w14:paraId="3798F6DA" w14:textId="77777777" w:rsidR="00AD759B" w:rsidRPr="00AD759B" w:rsidRDefault="00AD759B" w:rsidP="00C60483">
            <w:r w:rsidRPr="00AD759B">
              <w:t>Authorization</w:t>
            </w:r>
          </w:p>
        </w:tc>
        <w:tc>
          <w:tcPr>
            <w:tcW w:w="7511" w:type="dxa"/>
            <w:vAlign w:val="center"/>
          </w:tcPr>
          <w:p w14:paraId="0242E031" w14:textId="77777777" w:rsidR="00AD759B" w:rsidRPr="00AD759B" w:rsidRDefault="00AD759B" w:rsidP="00C60483">
            <w:r w:rsidRPr="00AD759B">
              <w:t>Granular permissions for create, read, edit, delete, approve, export, assign, refer, transfer and administer actions.</w:t>
            </w:r>
          </w:p>
        </w:tc>
      </w:tr>
      <w:tr w:rsidR="00AD759B" w:rsidRPr="00AD759B" w14:paraId="20B6EF41" w14:textId="77777777" w:rsidTr="00C956EA">
        <w:trPr>
          <w:jc w:val="center"/>
        </w:trPr>
        <w:tc>
          <w:tcPr>
            <w:tcW w:w="2689" w:type="dxa"/>
            <w:vAlign w:val="center"/>
          </w:tcPr>
          <w:p w14:paraId="3261A345" w14:textId="77777777" w:rsidR="00AD759B" w:rsidRPr="00AD759B" w:rsidRDefault="00AD759B" w:rsidP="00C60483">
            <w:r w:rsidRPr="00AD759B">
              <w:t>Audit trail</w:t>
            </w:r>
          </w:p>
        </w:tc>
        <w:tc>
          <w:tcPr>
            <w:tcW w:w="7511" w:type="dxa"/>
            <w:vAlign w:val="center"/>
          </w:tcPr>
          <w:p w14:paraId="66C14D14" w14:textId="77777777" w:rsidR="00AD759B" w:rsidRPr="00AD759B" w:rsidRDefault="00AD759B" w:rsidP="00C60483">
            <w:r w:rsidRPr="00AD759B">
              <w:t>Tamper-resistant logs for user actions, views, changes, exports, approvals and administrative changes.</w:t>
            </w:r>
          </w:p>
        </w:tc>
      </w:tr>
      <w:tr w:rsidR="00AD759B" w:rsidRPr="00AD759B" w14:paraId="411B4D01" w14:textId="77777777" w:rsidTr="00C956EA">
        <w:trPr>
          <w:jc w:val="center"/>
        </w:trPr>
        <w:tc>
          <w:tcPr>
            <w:tcW w:w="2689" w:type="dxa"/>
            <w:vAlign w:val="center"/>
          </w:tcPr>
          <w:p w14:paraId="2505552D" w14:textId="77777777" w:rsidR="00AD759B" w:rsidRPr="00AD759B" w:rsidRDefault="00AD759B" w:rsidP="00C60483">
            <w:r w:rsidRPr="00AD759B">
              <w:t>Encryption</w:t>
            </w:r>
          </w:p>
        </w:tc>
        <w:tc>
          <w:tcPr>
            <w:tcW w:w="7511" w:type="dxa"/>
            <w:vAlign w:val="center"/>
          </w:tcPr>
          <w:p w14:paraId="58A15A8A" w14:textId="77777777" w:rsidR="00AD759B" w:rsidRPr="00AD759B" w:rsidRDefault="00AD759B" w:rsidP="00C60483">
            <w:r w:rsidRPr="00AD759B">
              <w:t>Encryption in transit using TLS and encryption at rest for databases, backups and sensitive file storage.</w:t>
            </w:r>
          </w:p>
        </w:tc>
      </w:tr>
      <w:tr w:rsidR="00AD759B" w:rsidRPr="00AD759B" w14:paraId="1AF278F8" w14:textId="77777777" w:rsidTr="00C956EA">
        <w:trPr>
          <w:jc w:val="center"/>
        </w:trPr>
        <w:tc>
          <w:tcPr>
            <w:tcW w:w="2689" w:type="dxa"/>
            <w:vAlign w:val="center"/>
          </w:tcPr>
          <w:p w14:paraId="4F65F648" w14:textId="77777777" w:rsidR="00AD759B" w:rsidRPr="00AD759B" w:rsidRDefault="00AD759B" w:rsidP="00C60483">
            <w:r w:rsidRPr="00AD759B">
              <w:t>Hosting</w:t>
            </w:r>
          </w:p>
        </w:tc>
        <w:tc>
          <w:tcPr>
            <w:tcW w:w="7511" w:type="dxa"/>
            <w:vAlign w:val="center"/>
          </w:tcPr>
          <w:p w14:paraId="15A5F69C" w14:textId="77777777" w:rsidR="00AD759B" w:rsidRPr="00AD759B" w:rsidRDefault="00AD759B" w:rsidP="00C60483">
            <w:r w:rsidRPr="00AD759B">
              <w:t>Clear hosting proposal, data location, backup schedule, disaster recovery targets and system monitoring.</w:t>
            </w:r>
          </w:p>
        </w:tc>
      </w:tr>
      <w:tr w:rsidR="00AD759B" w:rsidRPr="00AD759B" w14:paraId="4F89A8CB" w14:textId="77777777" w:rsidTr="00C956EA">
        <w:trPr>
          <w:jc w:val="center"/>
        </w:trPr>
        <w:tc>
          <w:tcPr>
            <w:tcW w:w="2689" w:type="dxa"/>
            <w:vAlign w:val="center"/>
          </w:tcPr>
          <w:p w14:paraId="631781B5" w14:textId="77777777" w:rsidR="00AD759B" w:rsidRPr="00AD759B" w:rsidRDefault="00AD759B" w:rsidP="00C60483">
            <w:r w:rsidRPr="00AD759B">
              <w:t>Incident response</w:t>
            </w:r>
          </w:p>
        </w:tc>
        <w:tc>
          <w:tcPr>
            <w:tcW w:w="7511" w:type="dxa"/>
            <w:vAlign w:val="center"/>
          </w:tcPr>
          <w:p w14:paraId="17D7DEC3" w14:textId="77777777" w:rsidR="00AD759B" w:rsidRPr="00AD759B" w:rsidRDefault="00AD759B" w:rsidP="00C60483">
            <w:r w:rsidRPr="00AD759B">
              <w:t>Documented process for security incidents, breach notification support and vulnerability remediation.</w:t>
            </w:r>
          </w:p>
        </w:tc>
      </w:tr>
      <w:tr w:rsidR="00AD759B" w:rsidRPr="00AD759B" w14:paraId="205D5C17" w14:textId="77777777" w:rsidTr="00C956EA">
        <w:trPr>
          <w:jc w:val="center"/>
        </w:trPr>
        <w:tc>
          <w:tcPr>
            <w:tcW w:w="2689" w:type="dxa"/>
            <w:vAlign w:val="center"/>
          </w:tcPr>
          <w:p w14:paraId="6F1D584C" w14:textId="77777777" w:rsidR="00AD759B" w:rsidRPr="00AD759B" w:rsidRDefault="00AD759B" w:rsidP="00C60483">
            <w:r w:rsidRPr="00AD759B">
              <w:t>Testing</w:t>
            </w:r>
          </w:p>
        </w:tc>
        <w:tc>
          <w:tcPr>
            <w:tcW w:w="7511" w:type="dxa"/>
            <w:vAlign w:val="center"/>
          </w:tcPr>
          <w:p w14:paraId="53D152AB" w14:textId="77777777" w:rsidR="00AD759B" w:rsidRPr="00AD759B" w:rsidRDefault="00AD759B" w:rsidP="00C60483">
            <w:r w:rsidRPr="00AD759B">
              <w:t>Security testing plan, including vulnerability scanning and remediation before go-live.</w:t>
            </w:r>
          </w:p>
        </w:tc>
      </w:tr>
    </w:tbl>
    <w:p w14:paraId="7C97C5C0" w14:textId="77777777" w:rsidR="00C956EA" w:rsidRDefault="00C956EA" w:rsidP="00C956EA">
      <w:pPr>
        <w:jc w:val="both"/>
      </w:pPr>
    </w:p>
    <w:p w14:paraId="5156B7D1" w14:textId="6F31F841" w:rsidR="00AD759B" w:rsidRPr="00C956EA" w:rsidRDefault="00C956EA" w:rsidP="00C956EA">
      <w:pPr>
        <w:jc w:val="both"/>
        <w:rPr>
          <w:b/>
          <w:bCs/>
          <w:color w:val="000000"/>
        </w:rPr>
      </w:pPr>
      <w:r w:rsidRPr="00C956EA">
        <w:rPr>
          <w:b/>
          <w:bCs/>
          <w:color w:val="000000"/>
        </w:rPr>
        <w:t>DELIVERABLES AND TIMELINE</w:t>
      </w:r>
    </w:p>
    <w:p w14:paraId="492F3C25" w14:textId="77777777" w:rsidR="00C956EA" w:rsidRDefault="00C956EA" w:rsidP="00C956EA"/>
    <w:p w14:paraId="79E5ACAA" w14:textId="77777777" w:rsidR="00C956EA" w:rsidRPr="00C956EA" w:rsidRDefault="00C956EA" w:rsidP="00C956EA"/>
    <w:tbl>
      <w:tblPr>
        <w:tblW w:w="10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536"/>
        <w:gridCol w:w="4960"/>
      </w:tblGrid>
      <w:tr w:rsidR="00AD759B" w:rsidRPr="00AD759B" w14:paraId="430E3D01" w14:textId="77777777" w:rsidTr="00C956EA">
        <w:trPr>
          <w:tblHeader/>
          <w:jc w:val="center"/>
        </w:trPr>
        <w:tc>
          <w:tcPr>
            <w:tcW w:w="704" w:type="dxa"/>
            <w:shd w:val="clear" w:color="auto" w:fill="1F4E79"/>
            <w:vAlign w:val="center"/>
          </w:tcPr>
          <w:p w14:paraId="06D6A0B3" w14:textId="77777777" w:rsidR="00AD759B" w:rsidRPr="00AD759B" w:rsidRDefault="00AD759B" w:rsidP="00C60483">
            <w:r w:rsidRPr="00AD759B">
              <w:rPr>
                <w:b/>
                <w:bCs/>
                <w:color w:val="FFFFFF"/>
              </w:rPr>
              <w:t>No.</w:t>
            </w:r>
          </w:p>
        </w:tc>
        <w:tc>
          <w:tcPr>
            <w:tcW w:w="4536" w:type="dxa"/>
            <w:shd w:val="clear" w:color="auto" w:fill="1F4E79"/>
            <w:vAlign w:val="center"/>
          </w:tcPr>
          <w:p w14:paraId="72DFA959" w14:textId="77777777" w:rsidR="00AD759B" w:rsidRPr="00AD759B" w:rsidRDefault="00AD759B" w:rsidP="00C60483">
            <w:r w:rsidRPr="00AD759B">
              <w:rPr>
                <w:b/>
                <w:bCs/>
                <w:color w:val="FFFFFF"/>
              </w:rPr>
              <w:t>Deliverable</w:t>
            </w:r>
          </w:p>
        </w:tc>
        <w:tc>
          <w:tcPr>
            <w:tcW w:w="4960" w:type="dxa"/>
            <w:shd w:val="clear" w:color="auto" w:fill="1F4E79"/>
            <w:vAlign w:val="center"/>
          </w:tcPr>
          <w:p w14:paraId="0970AFA0" w14:textId="4A9C0917" w:rsidR="00AD759B" w:rsidRPr="00AD759B" w:rsidRDefault="00C956EA" w:rsidP="00C60483">
            <w:r>
              <w:rPr>
                <w:b/>
                <w:bCs/>
                <w:color w:val="FFFFFF"/>
              </w:rPr>
              <w:t>Timeline</w:t>
            </w:r>
          </w:p>
        </w:tc>
      </w:tr>
      <w:tr w:rsidR="00AD759B" w:rsidRPr="00AD759B" w14:paraId="2D0CA0B7" w14:textId="77777777" w:rsidTr="00C956EA">
        <w:trPr>
          <w:jc w:val="center"/>
        </w:trPr>
        <w:tc>
          <w:tcPr>
            <w:tcW w:w="704" w:type="dxa"/>
            <w:vAlign w:val="center"/>
          </w:tcPr>
          <w:p w14:paraId="14472BD4" w14:textId="77777777" w:rsidR="00AD759B" w:rsidRPr="00AD759B" w:rsidRDefault="00AD759B" w:rsidP="00C60483">
            <w:r w:rsidRPr="00AD759B">
              <w:t>1</w:t>
            </w:r>
          </w:p>
        </w:tc>
        <w:tc>
          <w:tcPr>
            <w:tcW w:w="4536" w:type="dxa"/>
            <w:vAlign w:val="center"/>
          </w:tcPr>
          <w:p w14:paraId="02941DFE" w14:textId="1C8002CF" w:rsidR="00AD759B" w:rsidRDefault="00AD759B" w:rsidP="00C60483">
            <w:r w:rsidRPr="00AD759B">
              <w:t>Inception report</w:t>
            </w:r>
            <w:r w:rsidR="00C956EA">
              <w:t xml:space="preserve">, workplan and discovery package, which will contain </w:t>
            </w:r>
            <w:r w:rsidR="006A71F5">
              <w:t>the approved timeline, discovery approach, risk register and communication protocol</w:t>
            </w:r>
          </w:p>
          <w:p w14:paraId="09691D0A" w14:textId="4A177FF1" w:rsidR="00C956EA" w:rsidRPr="00AD759B" w:rsidRDefault="00C956EA" w:rsidP="00C60483"/>
        </w:tc>
        <w:tc>
          <w:tcPr>
            <w:tcW w:w="4960" w:type="dxa"/>
            <w:vAlign w:val="center"/>
          </w:tcPr>
          <w:p w14:paraId="208BC4E1" w14:textId="36D23770" w:rsidR="00AD759B" w:rsidRPr="00AD759B" w:rsidRDefault="006A71F5" w:rsidP="00C60483">
            <w:r>
              <w:t>Up to 2 weeks from the date of contract signing</w:t>
            </w:r>
          </w:p>
        </w:tc>
      </w:tr>
      <w:tr w:rsidR="00AD759B" w:rsidRPr="00AD759B" w14:paraId="2AA23EFC" w14:textId="77777777" w:rsidTr="00C956EA">
        <w:trPr>
          <w:jc w:val="center"/>
        </w:trPr>
        <w:tc>
          <w:tcPr>
            <w:tcW w:w="704" w:type="dxa"/>
            <w:vAlign w:val="center"/>
          </w:tcPr>
          <w:p w14:paraId="587E5011" w14:textId="77777777" w:rsidR="00AD759B" w:rsidRPr="00AD759B" w:rsidRDefault="00AD759B" w:rsidP="00C60483">
            <w:r w:rsidRPr="00AD759B">
              <w:t>2</w:t>
            </w:r>
          </w:p>
        </w:tc>
        <w:tc>
          <w:tcPr>
            <w:tcW w:w="4536" w:type="dxa"/>
            <w:vAlign w:val="center"/>
          </w:tcPr>
          <w:p w14:paraId="00D26FE0" w14:textId="36B7F211" w:rsidR="00AD759B" w:rsidRPr="00AD759B" w:rsidRDefault="006A71F5" w:rsidP="00C60483">
            <w:r w:rsidRPr="00AD759B">
              <w:t>Functional design and</w:t>
            </w:r>
            <w:r>
              <w:t xml:space="preserve"> UX</w:t>
            </w:r>
            <w:r w:rsidRPr="00AD759B">
              <w:t xml:space="preserve"> prototype</w:t>
            </w:r>
            <w:r>
              <w:t>, which will contain b</w:t>
            </w:r>
            <w:r w:rsidRPr="00AD759B">
              <w:t>usiness process maps, role matrix, proposed functionality, forms catalogue, data model and reporting catalogue</w:t>
            </w:r>
            <w:r>
              <w:t>, c</w:t>
            </w:r>
            <w:r w:rsidRPr="00AD759B">
              <w:t>lickable prototype or demo covering key user journeys and documented feedback resolution</w:t>
            </w:r>
            <w:r>
              <w:t>, technical a</w:t>
            </w:r>
            <w:r w:rsidRPr="00AD759B">
              <w:t>rchitecture, hosting, integrations, access control, audit, privacy and backup design approved by the contracting authority</w:t>
            </w:r>
          </w:p>
        </w:tc>
        <w:tc>
          <w:tcPr>
            <w:tcW w:w="4960" w:type="dxa"/>
            <w:vAlign w:val="center"/>
          </w:tcPr>
          <w:p w14:paraId="241A93BB" w14:textId="47C26BBE" w:rsidR="00AD759B" w:rsidRPr="00AD759B" w:rsidRDefault="006A71F5" w:rsidP="00C60483">
            <w:r>
              <w:t>Up to 4 weeks</w:t>
            </w:r>
          </w:p>
        </w:tc>
      </w:tr>
      <w:tr w:rsidR="00AD759B" w:rsidRPr="00AD759B" w14:paraId="6DC0B968" w14:textId="77777777" w:rsidTr="00C956EA">
        <w:trPr>
          <w:jc w:val="center"/>
        </w:trPr>
        <w:tc>
          <w:tcPr>
            <w:tcW w:w="704" w:type="dxa"/>
            <w:vAlign w:val="center"/>
          </w:tcPr>
          <w:p w14:paraId="2B44B73A" w14:textId="4931C20D" w:rsidR="00AD759B" w:rsidRPr="00AD759B" w:rsidRDefault="006A71F5" w:rsidP="00C60483">
            <w:r>
              <w:t>3</w:t>
            </w:r>
          </w:p>
        </w:tc>
        <w:tc>
          <w:tcPr>
            <w:tcW w:w="4536" w:type="dxa"/>
            <w:vAlign w:val="center"/>
          </w:tcPr>
          <w:p w14:paraId="0635E6AB" w14:textId="0C988B57" w:rsidR="00AD759B" w:rsidRPr="00AD759B" w:rsidRDefault="006A71F5" w:rsidP="00C60483">
            <w:r w:rsidRPr="00AD759B">
              <w:t>Development/configuration release 1</w:t>
            </w:r>
            <w:r>
              <w:t>, which will contain w</w:t>
            </w:r>
            <w:r w:rsidRPr="00AD759B">
              <w:t>orking system with agreed modules, roles, workflows, reports and administration features.</w:t>
            </w:r>
          </w:p>
        </w:tc>
        <w:tc>
          <w:tcPr>
            <w:tcW w:w="4960" w:type="dxa"/>
            <w:vAlign w:val="center"/>
          </w:tcPr>
          <w:p w14:paraId="5CDEE33E" w14:textId="3609C84F" w:rsidR="00AD759B" w:rsidRPr="00AD759B" w:rsidRDefault="006A71F5" w:rsidP="00C60483">
            <w:r>
              <w:t>4-5 weeks</w:t>
            </w:r>
          </w:p>
        </w:tc>
      </w:tr>
      <w:tr w:rsidR="00AD759B" w:rsidRPr="00AD759B" w14:paraId="5B6D557B" w14:textId="77777777" w:rsidTr="00C956EA">
        <w:trPr>
          <w:jc w:val="center"/>
        </w:trPr>
        <w:tc>
          <w:tcPr>
            <w:tcW w:w="704" w:type="dxa"/>
            <w:vAlign w:val="center"/>
          </w:tcPr>
          <w:p w14:paraId="1595BC9A" w14:textId="13B6F841" w:rsidR="00AD759B" w:rsidRPr="00AD759B" w:rsidRDefault="006A71F5" w:rsidP="00C60483">
            <w:r>
              <w:lastRenderedPageBreak/>
              <w:t>4</w:t>
            </w:r>
          </w:p>
        </w:tc>
        <w:tc>
          <w:tcPr>
            <w:tcW w:w="4536" w:type="dxa"/>
            <w:vAlign w:val="center"/>
          </w:tcPr>
          <w:p w14:paraId="2C711020" w14:textId="043D8A55" w:rsidR="00AD759B" w:rsidRPr="00AD759B" w:rsidRDefault="006A71F5" w:rsidP="00C60483">
            <w:r w:rsidRPr="00AD759B">
              <w:t>Testing, training and revisions</w:t>
            </w:r>
            <w:r>
              <w:t>, which will contain t</w:t>
            </w:r>
            <w:r w:rsidRPr="00AD759B">
              <w:t>est cases, user acceptance testing records, defect log, security testing evidence and remediation report</w:t>
            </w:r>
            <w:r>
              <w:t>; u</w:t>
            </w:r>
            <w:r w:rsidRPr="00AD759B">
              <w:t>ser guides, administrator guide, training sessions and handover materials in Romanian</w:t>
            </w:r>
          </w:p>
        </w:tc>
        <w:tc>
          <w:tcPr>
            <w:tcW w:w="4960" w:type="dxa"/>
            <w:vAlign w:val="center"/>
          </w:tcPr>
          <w:p w14:paraId="08846D9A" w14:textId="0DDDFE88" w:rsidR="00AD759B" w:rsidRPr="00AD759B" w:rsidRDefault="006A71F5" w:rsidP="00C60483">
            <w:r>
              <w:t>4-5 weeks</w:t>
            </w:r>
          </w:p>
        </w:tc>
      </w:tr>
      <w:tr w:rsidR="00AD759B" w:rsidRPr="00AD759B" w14:paraId="6BC359CE" w14:textId="77777777" w:rsidTr="00C956EA">
        <w:trPr>
          <w:jc w:val="center"/>
        </w:trPr>
        <w:tc>
          <w:tcPr>
            <w:tcW w:w="704" w:type="dxa"/>
            <w:vAlign w:val="center"/>
          </w:tcPr>
          <w:p w14:paraId="7F8360A5" w14:textId="61CEC5B8" w:rsidR="00AD759B" w:rsidRPr="00AD759B" w:rsidRDefault="006A71F5" w:rsidP="00C60483">
            <w:r>
              <w:t>5</w:t>
            </w:r>
          </w:p>
        </w:tc>
        <w:tc>
          <w:tcPr>
            <w:tcW w:w="4536" w:type="dxa"/>
            <w:vAlign w:val="center"/>
          </w:tcPr>
          <w:p w14:paraId="6E1F9C3D" w14:textId="0258A550" w:rsidR="00AD759B" w:rsidRPr="00AD759B" w:rsidRDefault="00AD759B" w:rsidP="00C60483">
            <w:r w:rsidRPr="00AD759B">
              <w:t>Go-live and warranty support</w:t>
            </w:r>
            <w:r w:rsidR="006A71F5">
              <w:t>, which will contain p</w:t>
            </w:r>
            <w:r w:rsidR="006A71F5" w:rsidRPr="00AD759B">
              <w:t>roduction deployment, data migration/import where agreed, and warranty support until 1 December 2029, including defect resolution, maintenance, updates, security updates, server/hosting operation, and support responses within 1-2 business days for standard requests</w:t>
            </w:r>
          </w:p>
        </w:tc>
        <w:tc>
          <w:tcPr>
            <w:tcW w:w="4960" w:type="dxa"/>
            <w:vAlign w:val="center"/>
          </w:tcPr>
          <w:p w14:paraId="4DB9CB91" w14:textId="63285E82" w:rsidR="00AD759B" w:rsidRPr="00AD759B" w:rsidRDefault="006A71F5" w:rsidP="00C60483">
            <w:r>
              <w:t>By 1 December 2029</w:t>
            </w:r>
          </w:p>
        </w:tc>
      </w:tr>
    </w:tbl>
    <w:p w14:paraId="405935C3" w14:textId="77777777" w:rsidR="00AD759B" w:rsidRPr="00AD759B" w:rsidRDefault="00AD759B" w:rsidP="00AD759B"/>
    <w:p w14:paraId="58885A21" w14:textId="77777777" w:rsidR="006A71F5" w:rsidRDefault="006A71F5" w:rsidP="006A71F5">
      <w:pPr>
        <w:jc w:val="both"/>
        <w:rPr>
          <w:b/>
          <w:bCs/>
          <w:color w:val="000000"/>
        </w:rPr>
      </w:pPr>
    </w:p>
    <w:p w14:paraId="3970527B" w14:textId="54890F84" w:rsidR="00AD759B" w:rsidRDefault="006A71F5" w:rsidP="006A71F5">
      <w:pPr>
        <w:jc w:val="both"/>
        <w:rPr>
          <w:b/>
          <w:bCs/>
          <w:color w:val="000000"/>
        </w:rPr>
      </w:pPr>
      <w:r w:rsidRPr="006A71F5">
        <w:rPr>
          <w:b/>
          <w:bCs/>
          <w:color w:val="000000"/>
        </w:rPr>
        <w:t>IMPLEMENTATION METHODOLOGY</w:t>
      </w:r>
    </w:p>
    <w:p w14:paraId="292530AB" w14:textId="77777777" w:rsidR="006A71F5" w:rsidRPr="006A71F5" w:rsidRDefault="006A71F5" w:rsidP="006A71F5">
      <w:pPr>
        <w:jc w:val="both"/>
        <w:rPr>
          <w:b/>
          <w:bCs/>
          <w:color w:val="000000"/>
        </w:rPr>
      </w:pPr>
    </w:p>
    <w:p w14:paraId="25190DF4" w14:textId="77777777" w:rsidR="00AD759B" w:rsidRPr="00AD759B" w:rsidRDefault="00AD759B" w:rsidP="006A71F5">
      <w:pPr>
        <w:jc w:val="both"/>
      </w:pPr>
      <w:r w:rsidRPr="00AD759B">
        <w:t>The proposal must include a practical methodology. Agile or hybrid delivery is acceptable, but the bidder must show how requirements will be controlled, how users will validate the product and how confidentiality will be protected during development and testing.</w:t>
      </w:r>
    </w:p>
    <w:p w14:paraId="4D39183D" w14:textId="77777777" w:rsidR="00AD759B" w:rsidRPr="00AD759B" w:rsidRDefault="00AD759B" w:rsidP="006A71F5">
      <w:pPr>
        <w:numPr>
          <w:ilvl w:val="0"/>
          <w:numId w:val="1"/>
        </w:numPr>
        <w:pBdr>
          <w:top w:val="nil"/>
          <w:left w:val="nil"/>
          <w:bottom w:val="nil"/>
          <w:right w:val="nil"/>
          <w:between w:val="nil"/>
        </w:pBdr>
        <w:spacing w:line="259" w:lineRule="auto"/>
        <w:jc w:val="both"/>
      </w:pPr>
      <w:r w:rsidRPr="00AD759B">
        <w:rPr>
          <w:rFonts w:eastAsia="Aptos"/>
          <w:color w:val="000000"/>
        </w:rPr>
        <w:t>Minimum one inception workshop and one validation workshop per major release.</w:t>
      </w:r>
    </w:p>
    <w:p w14:paraId="2263CAC2" w14:textId="77777777" w:rsidR="00AD759B" w:rsidRPr="00AD759B" w:rsidRDefault="00AD759B" w:rsidP="006A71F5">
      <w:pPr>
        <w:numPr>
          <w:ilvl w:val="0"/>
          <w:numId w:val="1"/>
        </w:numPr>
        <w:pBdr>
          <w:top w:val="nil"/>
          <w:left w:val="nil"/>
          <w:bottom w:val="nil"/>
          <w:right w:val="nil"/>
          <w:between w:val="nil"/>
        </w:pBdr>
        <w:spacing w:line="259" w:lineRule="auto"/>
        <w:jc w:val="both"/>
      </w:pPr>
      <w:r w:rsidRPr="00AD759B">
        <w:rPr>
          <w:rFonts w:eastAsia="Aptos"/>
          <w:color w:val="000000"/>
        </w:rPr>
        <w:t>A prioritized backlog with clear acceptance criteria for every approved feature.</w:t>
      </w:r>
    </w:p>
    <w:p w14:paraId="69662BD9" w14:textId="77777777" w:rsidR="00AD759B" w:rsidRPr="00AD759B" w:rsidRDefault="00AD759B" w:rsidP="006A71F5">
      <w:pPr>
        <w:numPr>
          <w:ilvl w:val="0"/>
          <w:numId w:val="1"/>
        </w:numPr>
        <w:pBdr>
          <w:top w:val="nil"/>
          <w:left w:val="nil"/>
          <w:bottom w:val="nil"/>
          <w:right w:val="nil"/>
          <w:between w:val="nil"/>
        </w:pBdr>
        <w:spacing w:line="259" w:lineRule="auto"/>
        <w:jc w:val="both"/>
      </w:pPr>
      <w:r w:rsidRPr="00AD759B">
        <w:rPr>
          <w:rFonts w:eastAsia="Aptos"/>
          <w:color w:val="000000"/>
        </w:rPr>
        <w:t>A demo at the end of each sprint or delivery cycle.</w:t>
      </w:r>
    </w:p>
    <w:p w14:paraId="0FAD0697" w14:textId="77777777" w:rsidR="00AD759B" w:rsidRPr="00AD759B" w:rsidRDefault="00AD759B" w:rsidP="006A71F5">
      <w:pPr>
        <w:numPr>
          <w:ilvl w:val="0"/>
          <w:numId w:val="1"/>
        </w:numPr>
        <w:pBdr>
          <w:top w:val="nil"/>
          <w:left w:val="nil"/>
          <w:bottom w:val="nil"/>
          <w:right w:val="nil"/>
          <w:between w:val="nil"/>
        </w:pBdr>
        <w:spacing w:line="259" w:lineRule="auto"/>
        <w:jc w:val="both"/>
      </w:pPr>
      <w:r w:rsidRPr="00AD759B">
        <w:rPr>
          <w:rFonts w:eastAsia="Aptos"/>
          <w:color w:val="000000"/>
        </w:rPr>
        <w:t>User acceptance testing before go-live, with written acceptance decisions.</w:t>
      </w:r>
    </w:p>
    <w:p w14:paraId="7BE291C3" w14:textId="77777777" w:rsidR="00AD759B" w:rsidRPr="00AD759B" w:rsidRDefault="00AD759B" w:rsidP="006A71F5">
      <w:pPr>
        <w:numPr>
          <w:ilvl w:val="0"/>
          <w:numId w:val="1"/>
        </w:numPr>
        <w:pBdr>
          <w:top w:val="nil"/>
          <w:left w:val="nil"/>
          <w:bottom w:val="nil"/>
          <w:right w:val="nil"/>
          <w:between w:val="nil"/>
        </w:pBdr>
        <w:spacing w:line="259" w:lineRule="auto"/>
        <w:jc w:val="both"/>
      </w:pPr>
      <w:r w:rsidRPr="00AD759B">
        <w:rPr>
          <w:rFonts w:eastAsia="Aptos"/>
          <w:color w:val="000000"/>
        </w:rPr>
        <w:t>A documented change-control process for scope changes after baseline approval.</w:t>
      </w:r>
    </w:p>
    <w:p w14:paraId="3DFEEDE9" w14:textId="3CF53987" w:rsidR="00AD759B" w:rsidRPr="006A71F5" w:rsidRDefault="00AD759B" w:rsidP="006A71F5">
      <w:pPr>
        <w:numPr>
          <w:ilvl w:val="0"/>
          <w:numId w:val="1"/>
        </w:numPr>
        <w:pBdr>
          <w:top w:val="nil"/>
          <w:left w:val="nil"/>
          <w:bottom w:val="nil"/>
          <w:right w:val="nil"/>
          <w:between w:val="nil"/>
        </w:pBdr>
        <w:spacing w:after="120" w:line="259" w:lineRule="auto"/>
        <w:jc w:val="both"/>
      </w:pPr>
      <w:r w:rsidRPr="00AD759B">
        <w:rPr>
          <w:rFonts w:eastAsia="Aptos"/>
          <w:color w:val="000000"/>
        </w:rPr>
        <w:t>A warranty and support process valid until 1 December 2029, with response times by severity and standard support response within 1-2 business days.</w:t>
      </w:r>
    </w:p>
    <w:p w14:paraId="26ACCE74" w14:textId="4E790CE2" w:rsidR="006A71F5" w:rsidRDefault="006A71F5" w:rsidP="006A71F5">
      <w:pPr>
        <w:pBdr>
          <w:top w:val="nil"/>
          <w:left w:val="nil"/>
          <w:bottom w:val="nil"/>
          <w:right w:val="nil"/>
          <w:between w:val="nil"/>
        </w:pBdr>
        <w:spacing w:after="120" w:line="259" w:lineRule="auto"/>
        <w:jc w:val="both"/>
        <w:rPr>
          <w:rFonts w:eastAsia="Aptos"/>
          <w:color w:val="000000"/>
        </w:rPr>
      </w:pPr>
    </w:p>
    <w:p w14:paraId="5BBAD962" w14:textId="1EFD2970" w:rsidR="006A71F5" w:rsidRPr="006A71F5" w:rsidRDefault="006A71F5" w:rsidP="006A71F5">
      <w:pPr>
        <w:jc w:val="both"/>
        <w:rPr>
          <w:b/>
          <w:bCs/>
          <w:color w:val="000000"/>
        </w:rPr>
      </w:pPr>
      <w:r w:rsidRPr="006A71F5">
        <w:rPr>
          <w:b/>
          <w:bCs/>
          <w:color w:val="000000"/>
        </w:rPr>
        <w:t>OWNERSHIP, CONFIDENTIALITY AND DATA</w:t>
      </w:r>
    </w:p>
    <w:p w14:paraId="2A325FB7" w14:textId="77777777" w:rsidR="006A71F5" w:rsidRPr="00AD759B" w:rsidRDefault="006A71F5" w:rsidP="006A71F5">
      <w:pPr>
        <w:numPr>
          <w:ilvl w:val="0"/>
          <w:numId w:val="1"/>
        </w:numPr>
        <w:pBdr>
          <w:top w:val="nil"/>
          <w:left w:val="nil"/>
          <w:bottom w:val="nil"/>
          <w:right w:val="nil"/>
          <w:between w:val="nil"/>
        </w:pBdr>
        <w:spacing w:line="259" w:lineRule="auto"/>
        <w:jc w:val="both"/>
      </w:pPr>
      <w:r w:rsidRPr="00AD759B">
        <w:rPr>
          <w:rFonts w:eastAsia="Aptos"/>
          <w:color w:val="000000"/>
        </w:rPr>
        <w:t>All requirements, configurations, source code developed specifically for the assignment, documentation and deliverables should be owned by the contracting authority unless otherwise agreed in writing.</w:t>
      </w:r>
    </w:p>
    <w:p w14:paraId="698EC486" w14:textId="77777777" w:rsidR="006A71F5" w:rsidRPr="00AD759B" w:rsidRDefault="006A71F5" w:rsidP="006A71F5">
      <w:pPr>
        <w:numPr>
          <w:ilvl w:val="0"/>
          <w:numId w:val="1"/>
        </w:numPr>
        <w:pBdr>
          <w:top w:val="nil"/>
          <w:left w:val="nil"/>
          <w:bottom w:val="nil"/>
          <w:right w:val="nil"/>
          <w:between w:val="nil"/>
        </w:pBdr>
        <w:spacing w:line="259" w:lineRule="auto"/>
        <w:jc w:val="both"/>
      </w:pPr>
      <w:r w:rsidRPr="00AD759B">
        <w:rPr>
          <w:rFonts w:eastAsia="Aptos"/>
          <w:color w:val="000000"/>
        </w:rPr>
        <w:t>The supplier must not use real survivor or beneficiary data in development, testing, screenshots, demonstrations or training materials unless explicitly authorized and anonymized.</w:t>
      </w:r>
    </w:p>
    <w:p w14:paraId="251628BD" w14:textId="77777777" w:rsidR="006A71F5" w:rsidRPr="00AD759B" w:rsidRDefault="006A71F5" w:rsidP="006A71F5">
      <w:pPr>
        <w:numPr>
          <w:ilvl w:val="0"/>
          <w:numId w:val="1"/>
        </w:numPr>
        <w:pBdr>
          <w:top w:val="nil"/>
          <w:left w:val="nil"/>
          <w:bottom w:val="nil"/>
          <w:right w:val="nil"/>
          <w:between w:val="nil"/>
        </w:pBdr>
        <w:spacing w:line="259" w:lineRule="auto"/>
        <w:jc w:val="both"/>
      </w:pPr>
      <w:r w:rsidRPr="00AD759B">
        <w:rPr>
          <w:rFonts w:eastAsia="Aptos"/>
          <w:color w:val="000000"/>
        </w:rPr>
        <w:t>The supplier must sign confidentiality undertakings for all personnel with access to project information.</w:t>
      </w:r>
    </w:p>
    <w:p w14:paraId="5E25AF41" w14:textId="77777777" w:rsidR="006A71F5" w:rsidRPr="00AD759B" w:rsidRDefault="006A71F5" w:rsidP="006A71F5">
      <w:pPr>
        <w:numPr>
          <w:ilvl w:val="0"/>
          <w:numId w:val="1"/>
        </w:numPr>
        <w:pBdr>
          <w:top w:val="nil"/>
          <w:left w:val="nil"/>
          <w:bottom w:val="nil"/>
          <w:right w:val="nil"/>
          <w:between w:val="nil"/>
        </w:pBdr>
        <w:spacing w:after="120" w:line="259" w:lineRule="auto"/>
        <w:jc w:val="both"/>
      </w:pPr>
      <w:r w:rsidRPr="00AD759B">
        <w:rPr>
          <w:rFonts w:eastAsia="Aptos"/>
          <w:color w:val="000000"/>
        </w:rPr>
        <w:t>The supplier must provide handover materials sufficient for future maintenance and administration.</w:t>
      </w:r>
    </w:p>
    <w:p w14:paraId="3CF702E0" w14:textId="77777777" w:rsidR="00FD1630" w:rsidRDefault="00FD1630" w:rsidP="00FD1630">
      <w:pPr>
        <w:jc w:val="both"/>
        <w:rPr>
          <w:b/>
          <w:bCs/>
          <w:color w:val="000000"/>
        </w:rPr>
      </w:pPr>
    </w:p>
    <w:p w14:paraId="77F9D816" w14:textId="7A5228E0" w:rsidR="00AD759B" w:rsidRPr="00FD1630" w:rsidRDefault="00FD1630" w:rsidP="00FD1630">
      <w:pPr>
        <w:jc w:val="both"/>
        <w:rPr>
          <w:b/>
          <w:bCs/>
          <w:color w:val="000000"/>
        </w:rPr>
      </w:pPr>
      <w:r w:rsidRPr="00FD1630">
        <w:rPr>
          <w:b/>
          <w:bCs/>
          <w:color w:val="000000"/>
        </w:rPr>
        <w:t>QUALIFICATION REQUIREMENTS</w:t>
      </w:r>
    </w:p>
    <w:p w14:paraId="286B8882" w14:textId="54E53921" w:rsidR="005B31DA" w:rsidRPr="00FD1630" w:rsidRDefault="005B31DA" w:rsidP="00FD1630">
      <w:pPr>
        <w:pStyle w:val="NormalWeb"/>
        <w:jc w:val="both"/>
      </w:pPr>
      <w:r w:rsidRPr="00FD1630">
        <w:lastRenderedPageBreak/>
        <w:t xml:space="preserve">To provide the software development, implementation, maintenance and support services, the bidder </w:t>
      </w:r>
      <w:r w:rsidR="00FD1630">
        <w:t>i</w:t>
      </w:r>
      <w:r w:rsidRPr="00FD1630">
        <w:t>s expected to demonstrate technical, operational and financial capacity to deliver and sustain the platform throughout the implementation and maintenance period, including the ability to provide responsive support to users based in the Republic of Moldova. The bidder shall meet the following minimum qualification requirements:</w:t>
      </w:r>
    </w:p>
    <w:p w14:paraId="4060A7F0" w14:textId="0A9457C1" w:rsidR="005B31DA" w:rsidRPr="00FD1630" w:rsidRDefault="005B31DA" w:rsidP="00FD1630">
      <w:pPr>
        <w:pStyle w:val="NormalWeb"/>
        <w:numPr>
          <w:ilvl w:val="0"/>
          <w:numId w:val="2"/>
        </w:numPr>
        <w:jc w:val="both"/>
      </w:pPr>
      <w:r w:rsidRPr="00FD1630">
        <w:t>be a legally registered company or consortium authorized to provide software development, implementation and support services, demonstrated through registration documents and proposer information forms;</w:t>
      </w:r>
    </w:p>
    <w:p w14:paraId="57176B51" w14:textId="0396E855" w:rsidR="005B31DA" w:rsidRPr="00FD1630" w:rsidRDefault="005B31DA" w:rsidP="00FD1630">
      <w:pPr>
        <w:pStyle w:val="NormalWeb"/>
        <w:numPr>
          <w:ilvl w:val="0"/>
          <w:numId w:val="2"/>
        </w:numPr>
        <w:jc w:val="both"/>
      </w:pPr>
      <w:r w:rsidRPr="00FD1630">
        <w:t>have successfully completed at least one (1) web-based information system involving case management, service management, health or social services, legal aid, safeguarding, protection or similarly sensitive operational workflows;</w:t>
      </w:r>
    </w:p>
    <w:p w14:paraId="387CE70E" w14:textId="0BAE18E4" w:rsidR="005B31DA" w:rsidRPr="00FD1630" w:rsidRDefault="005B31DA" w:rsidP="00FD1630">
      <w:pPr>
        <w:pStyle w:val="NormalWeb"/>
        <w:numPr>
          <w:ilvl w:val="0"/>
          <w:numId w:val="2"/>
        </w:numPr>
        <w:jc w:val="both"/>
      </w:pPr>
      <w:r w:rsidRPr="00FD1630">
        <w:t>demonstrate experience from at least two (2) assignments involving personal, confidential, health, legal, survivor, beneficiary, child protection or comparable sensitive data environments;</w:t>
      </w:r>
    </w:p>
    <w:p w14:paraId="2AB8DBC1" w14:textId="0BFA7A52" w:rsidR="005B31DA" w:rsidRPr="00FD1630" w:rsidRDefault="005B31DA" w:rsidP="00FD1630">
      <w:pPr>
        <w:pStyle w:val="NormalWeb"/>
        <w:numPr>
          <w:ilvl w:val="0"/>
          <w:numId w:val="2"/>
        </w:numPr>
        <w:jc w:val="both"/>
      </w:pPr>
      <w:r w:rsidRPr="00FD1630">
        <w:t>demonstrate technical capacity to implement secure systems, including role-based access control (RBAC), audit logs, encryption, backups and secure hosting arrangements;</w:t>
      </w:r>
    </w:p>
    <w:p w14:paraId="10D34286" w14:textId="03F5E40D" w:rsidR="005B31DA" w:rsidRPr="00FD1630" w:rsidRDefault="005B31DA" w:rsidP="00FD1630">
      <w:pPr>
        <w:pStyle w:val="NormalWeb"/>
        <w:numPr>
          <w:ilvl w:val="0"/>
          <w:numId w:val="2"/>
        </w:numPr>
        <w:jc w:val="both"/>
      </w:pPr>
      <w:r w:rsidRPr="00FD1630">
        <w:t>demonstrate the capacity to provide implementation and support services in Romanian and ensure responsive support for users based in the Republic of Moldova;</w:t>
      </w:r>
    </w:p>
    <w:p w14:paraId="13ABC621" w14:textId="5B18E319" w:rsidR="005B31DA" w:rsidRPr="00FD1630" w:rsidRDefault="005B31DA" w:rsidP="00FD1630">
      <w:pPr>
        <w:pStyle w:val="NormalWeb"/>
        <w:numPr>
          <w:ilvl w:val="0"/>
          <w:numId w:val="2"/>
        </w:numPr>
        <w:jc w:val="both"/>
      </w:pPr>
      <w:r w:rsidRPr="00FD1630">
        <w:t>demonstrate financial stability and sufficient operational capacity to maintain, support and operate the system without interruption until at least 1 December 2029, through financial statements, management accounts, accountant confirmations or other relevant evidence;</w:t>
      </w:r>
    </w:p>
    <w:p w14:paraId="7DFBE120" w14:textId="2BD14C6C" w:rsidR="005B31DA" w:rsidRPr="00FD1630" w:rsidRDefault="005B31DA" w:rsidP="00FD1630">
      <w:pPr>
        <w:pStyle w:val="NormalWeb"/>
        <w:jc w:val="both"/>
      </w:pPr>
      <w:r w:rsidRPr="00FD1630">
        <w:t>To implement the assignment, the bidder is expected to make available a multidisciplinary team composed of at least five (5) named experts covering project management, implementation coordination, business analysis, technical development, quality assurance, security and training functions. The proposed team shall ensure sufficient local presence and operational responsiveness in Moldova, including the ability to participate in in-person meetings and provide implementation support when required. The proposed experts shall collectively meet the following minimum requirements in terms of qualifications and expertise:</w:t>
      </w:r>
    </w:p>
    <w:p w14:paraId="2A3767D9" w14:textId="77777777" w:rsidR="00FD1630" w:rsidRDefault="005B31DA" w:rsidP="00FD1630">
      <w:pPr>
        <w:pStyle w:val="NormalWeb"/>
        <w:numPr>
          <w:ilvl w:val="0"/>
          <w:numId w:val="3"/>
        </w:numPr>
        <w:jc w:val="both"/>
      </w:pPr>
      <w:r w:rsidRPr="00FD1630">
        <w:t>higher education in information technology, software engineering, computer science, business analysis, project management or other relevant fields;</w:t>
      </w:r>
    </w:p>
    <w:p w14:paraId="524FEE14" w14:textId="2A97BA63" w:rsidR="005B31DA" w:rsidRPr="00FD1630" w:rsidRDefault="00FD1630" w:rsidP="00FD1630">
      <w:pPr>
        <w:pStyle w:val="NormalWeb"/>
        <w:numPr>
          <w:ilvl w:val="0"/>
          <w:numId w:val="3"/>
        </w:numPr>
        <w:jc w:val="both"/>
      </w:pPr>
      <w:r>
        <w:t>d</w:t>
      </w:r>
      <w:r w:rsidR="005B31DA" w:rsidRPr="00FD1630">
        <w:t>emonstrated experience in developing, implementing or supporting secure web-based systems involving sensitive, confidential or survivor-centered workflows, including case management or social service systems;</w:t>
      </w:r>
    </w:p>
    <w:p w14:paraId="5F6D4656" w14:textId="4A1D7F3A" w:rsidR="005B31DA" w:rsidRPr="00FD1630" w:rsidRDefault="005B31DA" w:rsidP="00FD1630">
      <w:pPr>
        <w:pStyle w:val="NormalWeb"/>
        <w:numPr>
          <w:ilvl w:val="0"/>
          <w:numId w:val="3"/>
        </w:numPr>
        <w:jc w:val="both"/>
      </w:pPr>
      <w:r w:rsidRPr="00FD1630">
        <w:t>proven experience in software architecture, system security, access control, encryption, audit logs, testing, deployment and maintenance of secure digital platforms;</w:t>
      </w:r>
    </w:p>
    <w:p w14:paraId="7E303F9C" w14:textId="5BB888D8" w:rsidR="005B31DA" w:rsidRPr="00FD1630" w:rsidRDefault="005B31DA" w:rsidP="00FD1630">
      <w:pPr>
        <w:pStyle w:val="NormalWeb"/>
        <w:numPr>
          <w:ilvl w:val="0"/>
          <w:numId w:val="3"/>
        </w:numPr>
        <w:jc w:val="both"/>
      </w:pPr>
      <w:r w:rsidRPr="00FD1630">
        <w:t>experience in operational workflow analysis, preparation of software requirements, user support, training and development of user-friendly systems for non-technical users;</w:t>
      </w:r>
    </w:p>
    <w:p w14:paraId="1C0532DE" w14:textId="6A545A88" w:rsidR="005B31DA" w:rsidRPr="00FD1630" w:rsidRDefault="005B31DA" w:rsidP="00FD1630">
      <w:pPr>
        <w:pStyle w:val="NormalWeb"/>
        <w:numPr>
          <w:ilvl w:val="0"/>
          <w:numId w:val="3"/>
        </w:numPr>
        <w:jc w:val="both"/>
      </w:pPr>
      <w:r w:rsidRPr="00FD1630">
        <w:t>working knowledge of Romanian and the ability to provide communication, user support and documentation for Moldova-based stakeholders.</w:t>
      </w:r>
    </w:p>
    <w:p w14:paraId="1CE59087" w14:textId="77777777" w:rsidR="00AD759B" w:rsidRPr="005B31DA" w:rsidRDefault="00AD759B" w:rsidP="005B31DA">
      <w:pPr>
        <w:rPr>
          <w:lang w:val="en-US"/>
        </w:rPr>
      </w:pPr>
    </w:p>
    <w:sectPr w:rsidR="00AD759B" w:rsidRPr="005B31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D62CF"/>
    <w:multiLevelType w:val="hybridMultilevel"/>
    <w:tmpl w:val="CEE83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016802"/>
    <w:multiLevelType w:val="hybridMultilevel"/>
    <w:tmpl w:val="A84AB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0347AA"/>
    <w:multiLevelType w:val="multilevel"/>
    <w:tmpl w:val="285835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CEC"/>
    <w:rsid w:val="0013570A"/>
    <w:rsid w:val="004B6424"/>
    <w:rsid w:val="005B31DA"/>
    <w:rsid w:val="006A71F5"/>
    <w:rsid w:val="00973CEC"/>
    <w:rsid w:val="00AA780A"/>
    <w:rsid w:val="00AD759B"/>
    <w:rsid w:val="00C956EA"/>
    <w:rsid w:val="00FD1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BB35A"/>
  <w15:chartTrackingRefBased/>
  <w15:docId w15:val="{4919308A-7F4D-4CB7-9AAB-2B7514C9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59B"/>
    <w:pPr>
      <w:spacing w:after="0" w:line="240" w:lineRule="auto"/>
    </w:pPr>
    <w:rPr>
      <w:rFonts w:ascii="Times New Roman" w:eastAsia="Times New Roman" w:hAnsi="Times New Roman" w:cs="Times New Roman"/>
      <w:sz w:val="24"/>
      <w:szCs w:val="24"/>
      <w:lang w:val="en"/>
    </w:rPr>
  </w:style>
  <w:style w:type="paragraph" w:styleId="Heading1">
    <w:name w:val="heading 1"/>
    <w:basedOn w:val="Normal"/>
    <w:next w:val="Normal"/>
    <w:link w:val="Heading1Char"/>
    <w:uiPriority w:val="9"/>
    <w:qFormat/>
    <w:rsid w:val="00AD759B"/>
    <w:pPr>
      <w:keepNext/>
      <w:keepLines/>
      <w:spacing w:before="480" w:line="259" w:lineRule="auto"/>
      <w:outlineLvl w:val="0"/>
    </w:pPr>
    <w:rPr>
      <w:rFonts w:ascii="Aptos" w:eastAsia="Aptos" w:hAnsi="Aptos" w:cs="Aptos"/>
      <w:b/>
      <w:bCs/>
      <w:color w:val="1F4E79"/>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59B"/>
    <w:rPr>
      <w:rFonts w:ascii="Aptos" w:eastAsia="Aptos" w:hAnsi="Aptos" w:cs="Aptos"/>
      <w:b/>
      <w:bCs/>
      <w:color w:val="1F4E79"/>
      <w:sz w:val="30"/>
      <w:szCs w:val="30"/>
      <w:lang w:val="en"/>
    </w:rPr>
  </w:style>
  <w:style w:type="paragraph" w:styleId="NormalWeb">
    <w:name w:val="Normal (Web)"/>
    <w:basedOn w:val="Normal"/>
    <w:uiPriority w:val="99"/>
    <w:unhideWhenUsed/>
    <w:rsid w:val="005B31DA"/>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12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2718</Words>
  <Characters>15497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Ratoi</dc:creator>
  <cp:keywords/>
  <dc:description/>
  <cp:lastModifiedBy>Elena Ratoi</cp:lastModifiedBy>
  <cp:revision>4</cp:revision>
  <dcterms:created xsi:type="dcterms:W3CDTF">2026-05-06T06:38:00Z</dcterms:created>
  <dcterms:modified xsi:type="dcterms:W3CDTF">2026-05-10T09:58:00Z</dcterms:modified>
</cp:coreProperties>
</file>